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4B4B" w14:textId="3F31F590" w:rsidR="00601EB7" w:rsidRDefault="00EA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CHAPTER ONE</w:t>
      </w:r>
    </w:p>
    <w:p w14:paraId="07B27C61" w14:textId="77777777" w:rsidR="00601EB7" w:rsidRDefault="00601E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5A39BA" w14:textId="2415E37B" w:rsidR="00601EB7" w:rsidRDefault="00EA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6A">
        <w:rPr>
          <w:rFonts w:ascii="Times New Roman" w:eastAsia="Times New Roman" w:hAnsi="Times New Roman" w:cs="Times New Roman"/>
          <w:color w:val="000000"/>
          <w:sz w:val="24"/>
          <w:szCs w:val="24"/>
        </w:rPr>
        <w:t>PURPOSE, SCOPE, BASE AND DEFINITIONS</w:t>
      </w:r>
    </w:p>
    <w:p w14:paraId="51658004" w14:textId="77777777" w:rsidR="00601EB7" w:rsidRDefault="00601EB7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D056D" w14:textId="4BF6F874" w:rsidR="00601EB7" w:rsidRDefault="00EA2E6A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E1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E26" w:rsidRPr="006F3E26"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purpose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directive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determine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bases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lecturers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rules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execution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vocational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courses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distance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Yeditepe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 w:rsidR="006F3E26" w:rsidRPr="006F3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5F69F" w14:textId="7A3D4EAB" w:rsidR="00601EB7" w:rsidRDefault="006F3E26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SCOPE</w:t>
      </w:r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E1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directive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covers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procedures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decisions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distance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in Yeditepe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evaluating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suggestions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E26">
        <w:rPr>
          <w:rFonts w:ascii="Times New Roman" w:eastAsia="Times New Roman" w:hAnsi="Times New Roman" w:cs="Times New Roman"/>
          <w:sz w:val="24"/>
          <w:szCs w:val="24"/>
        </w:rPr>
        <w:t>commissions</w:t>
      </w:r>
      <w:proofErr w:type="spellEnd"/>
      <w:r w:rsidRPr="006F3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30B4E" w14:textId="3DA70939" w:rsidR="00601EB7" w:rsidRDefault="006F3E26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BASE</w:t>
      </w:r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E1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determined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guidelines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regulations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listed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="00740D29" w:rsidRPr="00740D2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D56522" w14:textId="7B871AE1" w:rsidR="00601EB7" w:rsidRDefault="007E1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Yeditepe </w:t>
      </w:r>
      <w:proofErr w:type="spellStart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Distance</w:t>
      </w:r>
      <w:proofErr w:type="spellEnd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 </w:t>
      </w:r>
      <w:proofErr w:type="spellStart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dated</w:t>
      </w:r>
      <w:proofErr w:type="spellEnd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proofErr w:type="spellEnd"/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23, 2020</w:t>
      </w:r>
      <w:r w:rsidR="00740D29"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https://yeditepe.edu.tr/tr/duyuru/yeditepe-universitesi-uzaktan-egitim-uygulama-esaslari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),</w:t>
      </w:r>
    </w:p>
    <w:p w14:paraId="5F95B339" w14:textId="323956A9" w:rsidR="00601EB7" w:rsidRDefault="00740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Yeditepe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Regulations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regulations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D0984CD" w14:textId="7A1EBD27" w:rsidR="00601EB7" w:rsidRDefault="00740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Qualifications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6th Level,</w:t>
      </w:r>
    </w:p>
    <w:p w14:paraId="7CC18B37" w14:textId="77777777" w:rsidR="00740D29" w:rsidRDefault="00740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6283,</w:t>
      </w:r>
    </w:p>
    <w:p w14:paraId="5F32C5DC" w14:textId="77777777" w:rsidR="00740D29" w:rsidRDefault="00740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Gazette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27515,</w:t>
      </w:r>
    </w:p>
    <w:p w14:paraId="7F3B49AA" w14:textId="53E95752" w:rsidR="00601EB7" w:rsidRDefault="00740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Amendment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>Gazette</w:t>
      </w:r>
      <w:proofErr w:type="spellEnd"/>
      <w:r w:rsidRPr="00740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27910,</w:t>
      </w:r>
    </w:p>
    <w:p w14:paraId="2085F359" w14:textId="75308B65" w:rsidR="00601EB7" w:rsidRDefault="00433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Conditions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Doctorate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Midwifery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Dentistry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Veterinary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Pharmacy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Architecture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Programs",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Gazette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26775,</w:t>
      </w:r>
    </w:p>
    <w:p w14:paraId="4DD56916" w14:textId="307C469B" w:rsidR="00601EB7" w:rsidRDefault="007E1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YÖK </w:t>
      </w:r>
      <w:proofErr w:type="spellStart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4333D6"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(HUÇEP),</w:t>
      </w:r>
    </w:p>
    <w:p w14:paraId="0F2D3CF9" w14:textId="6FDC789D" w:rsidR="00601EB7" w:rsidRDefault="00433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Nursing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Programs Evaluation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Accreditation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(HEPDAK),</w:t>
      </w:r>
    </w:p>
    <w:p w14:paraId="5588D6FA" w14:textId="4C454F5B" w:rsidR="00601EB7" w:rsidRDefault="00433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6698 on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Personal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(KVKK),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adopted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24/3/2016,</w:t>
      </w:r>
    </w:p>
    <w:p w14:paraId="7DAC0956" w14:textId="558A7DD9" w:rsidR="00601EB7" w:rsidRDefault="00433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Framework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Applied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Gazette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dated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17/6/2021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>numbered</w:t>
      </w:r>
      <w:proofErr w:type="spellEnd"/>
      <w:r w:rsidRPr="0043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31514,</w:t>
      </w:r>
    </w:p>
    <w:p w14:paraId="4BEF2440" w14:textId="7F9A55C8" w:rsidR="00601EB7" w:rsidRPr="004333D6" w:rsidRDefault="00433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Procedures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Principles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Regarding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Distance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Higher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Institutions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which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were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decided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meeting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dated</w:t>
      </w:r>
      <w:proofErr w:type="spellEnd"/>
      <w:r w:rsidRPr="004333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24/09/2020.</w:t>
      </w:r>
    </w:p>
    <w:p w14:paraId="304E7668" w14:textId="77777777" w:rsidR="00601EB7" w:rsidRDefault="00601E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212E60" w14:textId="2F96EA70" w:rsidR="00601EB7" w:rsidRDefault="004333D6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4. </w:t>
      </w:r>
      <w:proofErr w:type="gramStart"/>
      <w:r w:rsidR="00905307">
        <w:rPr>
          <w:rFonts w:ascii="Times New Roman" w:eastAsia="Times New Roman" w:hAnsi="Times New Roman" w:cs="Times New Roman"/>
          <w:b/>
          <w:sz w:val="24"/>
          <w:szCs w:val="24"/>
        </w:rPr>
        <w:t xml:space="preserve">DEFINITONS </w:t>
      </w:r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7CE">
        <w:rPr>
          <w:rFonts w:ascii="Times New Roman" w:eastAsia="Times New Roman" w:hAnsi="Times New Roman" w:cs="Times New Roman"/>
          <w:sz w:val="24"/>
          <w:szCs w:val="24"/>
        </w:rPr>
        <w:t>Bu yönergede geçen;</w:t>
      </w:r>
    </w:p>
    <w:p w14:paraId="0CFCF45E" w14:textId="2F082046" w:rsidR="00601EB7" w:rsidRPr="0090530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4.1. </w:t>
      </w:r>
      <w:proofErr w:type="spellStart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Distance</w:t>
      </w:r>
      <w:proofErr w:type="spellEnd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  <w:proofErr w:type="spellEnd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education-teaching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method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which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educational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activities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planned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carried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based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technologies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between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responsible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lecturer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carried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synchronously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asynchronously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9053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F37654E" w14:textId="21626A1B" w:rsidR="00601EB7" w:rsidRPr="0090530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4.2. </w:t>
      </w:r>
      <w:proofErr w:type="spellStart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</w:t>
      </w:r>
      <w:proofErr w:type="spellEnd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Information </w:t>
      </w:r>
      <w:proofErr w:type="spellStart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System</w:t>
      </w:r>
      <w:proofErr w:type="spellEnd"/>
      <w:r w:rsidR="00905307" w:rsidRPr="00905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(OBS): </w:t>
      </w:r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management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system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used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educational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institutions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manage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</w:t>
      </w:r>
      <w:proofErr w:type="spell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</w:t>
      </w:r>
      <w:proofErr w:type="gramEnd"/>
      <w:r w:rsidR="00905307" w:rsidRPr="00905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6B365326" w14:textId="73F687CB" w:rsidR="00601EB7" w:rsidRDefault="00AE71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COADSYS</w:t>
      </w:r>
      <w:r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/COADSYSEXAM (</w:t>
      </w:r>
      <w:proofErr w:type="spellStart"/>
      <w:r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Instructional</w:t>
      </w:r>
      <w:proofErr w:type="spellEnd"/>
      <w:r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Management </w:t>
      </w:r>
      <w:proofErr w:type="spellStart"/>
      <w:r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System</w:t>
      </w:r>
      <w:proofErr w:type="spellEnd"/>
      <w:r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instructional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management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system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that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provides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educator-student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where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documents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used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management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distance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system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such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materials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homework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assessment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evaluation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tools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published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reported</w:t>
      </w:r>
      <w:proofErr w:type="spellEnd"/>
      <w:r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E17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0">
        <w:r w:rsidR="007E17CE">
          <w:rPr>
            <w:rFonts w:ascii="Times New Roman" w:eastAsia="Times New Roman" w:hAnsi="Times New Roman" w:cs="Times New Roman"/>
            <w:color w:val="3367D6"/>
            <w:sz w:val="24"/>
            <w:szCs w:val="24"/>
            <w:highlight w:val="white"/>
            <w:u w:val="single"/>
          </w:rPr>
          <w:t>https://yeditep</w:t>
        </w:r>
        <w:r w:rsidR="007E17CE">
          <w:rPr>
            <w:rFonts w:ascii="Times New Roman" w:eastAsia="Times New Roman" w:hAnsi="Times New Roman" w:cs="Times New Roman"/>
            <w:color w:val="3367D6"/>
            <w:sz w:val="24"/>
            <w:szCs w:val="24"/>
            <w:highlight w:val="white"/>
            <w:u w:val="single"/>
          </w:rPr>
          <w:t>e.edu.tr/sites/default/files/images/coadsys_tr.pdf</w:t>
        </w:r>
      </w:hyperlink>
      <w:r w:rsidR="007E17CE">
        <w:rPr>
          <w:rFonts w:ascii="Times New Roman" w:eastAsia="Times New Roman" w:hAnsi="Times New Roman" w:cs="Times New Roman"/>
          <w:color w:val="3367D6"/>
          <w:sz w:val="24"/>
          <w:szCs w:val="24"/>
          <w:u w:val="single"/>
        </w:rPr>
        <w:t>),</w:t>
      </w:r>
    </w:p>
    <w:p w14:paraId="1E20D5A3" w14:textId="6170DBE8" w:rsidR="00601EB7" w:rsidRPr="00AE7139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4.4. </w:t>
      </w:r>
      <w:proofErr w:type="spellStart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Synchronous</w:t>
      </w:r>
      <w:proofErr w:type="spellEnd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 online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which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instructors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participants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together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simultaneously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in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same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different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places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interact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each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other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share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experiences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directed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instructors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6CB0995E" w14:textId="70AAAE4E" w:rsidR="00601EB7" w:rsidRPr="00AE7139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4.5. </w:t>
      </w:r>
      <w:proofErr w:type="spellStart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Asynchronous</w:t>
      </w:r>
      <w:proofErr w:type="spellEnd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</w:t>
      </w:r>
      <w:proofErr w:type="spellEnd"/>
      <w:r w:rsidR="00AE7139" w:rsidRPr="00AE7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lesson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which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instructor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participants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held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recorded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asynchronously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environment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advance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can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access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any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time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much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they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want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material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transfer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interaction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carried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using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technology</w:t>
      </w:r>
      <w:proofErr w:type="spellEnd"/>
      <w:r w:rsidR="00AE7139" w:rsidRPr="00AE7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14:paraId="4DF88C1B" w14:textId="242B12AE" w:rsidR="00601EB7" w:rsidRPr="00430B85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4.6. </w:t>
      </w:r>
      <w:proofErr w:type="spellStart"/>
      <w:r w:rsidR="00AE7139" w:rsidRPr="00AE7139">
        <w:rPr>
          <w:rFonts w:ascii="Times New Roman" w:eastAsia="Times New Roman" w:hAnsi="Times New Roman" w:cs="Times New Roman"/>
          <w:b/>
          <w:sz w:val="24"/>
          <w:szCs w:val="24"/>
        </w:rPr>
        <w:t>Syllabus</w:t>
      </w:r>
      <w:proofErr w:type="spellEnd"/>
      <w:r w:rsidR="00AE7139" w:rsidRPr="00AE713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weekly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flow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in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all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shared</w:t>
      </w:r>
      <w:proofErr w:type="spellEnd"/>
      <w:r w:rsidR="00AE7139" w:rsidRPr="00430B8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5323C372" w14:textId="0AF78C0D" w:rsidR="00601EB7" w:rsidRPr="00430B85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4.7. </w:t>
      </w:r>
      <w:r w:rsidR="00430B85" w:rsidRPr="00430B85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="00430B85" w:rsidRPr="00430B85"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proofErr w:type="spellEnd"/>
      <w:r w:rsidR="00430B85" w:rsidRPr="00430B8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Refers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lecturer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responsible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execution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weekly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schedule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suitable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academic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terms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E0DCBE0" w14:textId="77777777" w:rsidR="00601EB7" w:rsidRDefault="00601E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31397" w14:textId="49F5869C" w:rsidR="00601EB7" w:rsidRDefault="00430B8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TWO</w:t>
      </w:r>
    </w:p>
    <w:p w14:paraId="182338B6" w14:textId="1023AFA3" w:rsidR="00601EB7" w:rsidRDefault="00430B8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B85"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 w:rsidRPr="00430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430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30B85">
        <w:rPr>
          <w:rFonts w:ascii="Times New Roman" w:eastAsia="Times New Roman" w:hAnsi="Times New Roman" w:cs="Times New Roman"/>
          <w:sz w:val="24"/>
          <w:szCs w:val="24"/>
        </w:rPr>
        <w:t xml:space="preserve"> Planning </w:t>
      </w:r>
      <w:proofErr w:type="spellStart"/>
      <w:r w:rsidRPr="00430B8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30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sz w:val="24"/>
          <w:szCs w:val="24"/>
        </w:rPr>
        <w:t>Execution</w:t>
      </w:r>
      <w:proofErr w:type="spellEnd"/>
      <w:r w:rsidRPr="00430B8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30B85">
        <w:rPr>
          <w:rFonts w:ascii="Times New Roman" w:eastAsia="Times New Roman" w:hAnsi="Times New Roman" w:cs="Times New Roman"/>
          <w:sz w:val="24"/>
          <w:szCs w:val="24"/>
        </w:rPr>
        <w:t>Distance</w:t>
      </w:r>
      <w:proofErr w:type="spellEnd"/>
      <w:r w:rsidRPr="00430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</w:p>
    <w:p w14:paraId="1A436214" w14:textId="20913D1D" w:rsidR="00601EB7" w:rsidRDefault="00430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1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5:</w:t>
      </w:r>
      <w:r w:rsid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planning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conducting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evaluating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theoretical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courses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counseling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ethical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explained</w:t>
      </w:r>
      <w:proofErr w:type="spellEnd"/>
      <w:r w:rsidRPr="00430B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166971" w14:textId="614CEEF9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5.1. </w:t>
      </w:r>
      <w:r w:rsidR="00430B85" w:rsidRPr="00430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Planning of </w:t>
      </w:r>
      <w:proofErr w:type="spellStart"/>
      <w:r w:rsidR="00430B85" w:rsidRPr="00430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Theoretical</w:t>
      </w:r>
      <w:proofErr w:type="spellEnd"/>
      <w:r w:rsidR="00430B85" w:rsidRPr="00430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Lessons</w:t>
      </w:r>
      <w:proofErr w:type="spellEnd"/>
    </w:p>
    <w:p w14:paraId="44D7D52A" w14:textId="318E942A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5.1.1.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academic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year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which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courses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opened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Nursing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Undergraduate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Program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curriculum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courses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conducted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remotely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responsible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lecturers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weekly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lesson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plans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prepared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department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chair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submitted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Faculty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Secretariat</w:t>
      </w:r>
      <w:proofErr w:type="spellEnd"/>
      <w:r w:rsidR="00430B85" w:rsidRPr="00430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719802E" w14:textId="5E7FF235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5.1.2.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Prepared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lesson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opened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Secretariat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OBS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enrolled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advisor</w:t>
      </w:r>
      <w:proofErr w:type="spellEnd"/>
      <w:r w:rsidR="001E6B2D" w:rsidRPr="001E6B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728F9" w14:textId="34B4703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5.1.3.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line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decisions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taken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Higher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Institution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Yeditepe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University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management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distance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can be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decided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changes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can be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made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curriculum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required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conditions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CB9E23" w14:textId="2A3EA353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</w:t>
      </w:r>
      <w:proofErr w:type="spellStart"/>
      <w:r w:rsidR="001E6B2D" w:rsidRPr="001E6B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Conducting</w:t>
      </w:r>
      <w:proofErr w:type="spellEnd"/>
      <w:r w:rsidR="001E6B2D" w:rsidRPr="001E6B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Theoretical</w:t>
      </w:r>
      <w:proofErr w:type="spellEnd"/>
      <w:r w:rsidR="001E6B2D" w:rsidRPr="001E6B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Courses</w:t>
      </w:r>
    </w:p>
    <w:p w14:paraId="387EA212" w14:textId="49928D3E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5.2.1.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distance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process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can be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conducted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synchronously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asynchronously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mixed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C61F4" w14:textId="688FE2B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5.2.2.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Lecture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syllabus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evaluation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forms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lecture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notes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homework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resources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databases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books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audio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video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materials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related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how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given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remotely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taught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provided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system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determined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instructor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coadsysexam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e-mail,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classroom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etc</w:t>
      </w:r>
      <w:proofErr w:type="spellEnd"/>
      <w:proofErr w:type="gram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)</w:t>
      </w:r>
      <w:proofErr w:type="gram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delivered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="001E6B2D" w:rsidRPr="001E6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4E6D08A" w14:textId="70E33C2A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5.2.3.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Lessons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video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conferencing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virtual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classroom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forum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applications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different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tools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recording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feature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(Google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Meet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Zoom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Teams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CoadsysExam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etc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.) can be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conducted</w:t>
      </w:r>
      <w:proofErr w:type="spellEnd"/>
      <w:r w:rsidR="00860155" w:rsidRPr="00860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recorded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order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increase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interaction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group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asked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their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cameras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microphones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turned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on.</w:t>
      </w:r>
    </w:p>
    <w:p w14:paraId="55DB248F" w14:textId="31111C01" w:rsidR="00601EB7" w:rsidRDefault="0086015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5.2.4. </w:t>
      </w:r>
      <w:proofErr w:type="spellStart"/>
      <w:r w:rsidRPr="00860155">
        <w:t>It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student's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upload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homework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determined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instructor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correctly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specified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interval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defined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time limit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expires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allow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upload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material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automatically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shows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upload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assignment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Coadsysexam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integrated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Turnitin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plagiarism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0155">
        <w:rPr>
          <w:rFonts w:ascii="Times New Roman" w:eastAsia="Times New Roman" w:hAnsi="Times New Roman" w:cs="Times New Roman"/>
          <w:sz w:val="24"/>
          <w:szCs w:val="24"/>
        </w:rPr>
        <w:t>software</w:t>
      </w:r>
      <w:proofErr w:type="gram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program, in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check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originality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assignments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uploaded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instructor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plagiarism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he/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</w:rPr>
        <w:t>sees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</w:rPr>
        <w:t xml:space="preserve"> fit.</w:t>
      </w:r>
    </w:p>
    <w:p w14:paraId="5316677A" w14:textId="2ABB142E" w:rsidR="00601EB7" w:rsidRDefault="007E17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5.2.5. </w:t>
      </w:r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in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face-to-face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attend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80% of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theoretical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courses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offered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distance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spellEnd"/>
      <w:r w:rsidR="00860155" w:rsidRPr="008601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D8C91E2" w14:textId="534F97A8" w:rsidR="00601EB7" w:rsidRDefault="007E17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5.2.6.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distance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process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on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determined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accordance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curriculum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each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week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about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way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lesson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given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(online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synchronous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asynchronous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etc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.),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number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participating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lesson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material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sharing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environment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submitted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Faculty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Secretariat</w:t>
      </w:r>
      <w:proofErr w:type="spellEnd"/>
      <w:r w:rsidR="00860155" w:rsidRPr="00860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4C5476B" w14:textId="51A4DB5C" w:rsidR="00601EB7" w:rsidRDefault="007E17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5.3.</w:t>
      </w:r>
      <w:r w:rsidR="00035918" w:rsidRPr="00035918">
        <w:t xml:space="preserve"> </w:t>
      </w:r>
      <w:r w:rsidR="00035918" w:rsidRPr="00035918"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of </w:t>
      </w:r>
      <w:proofErr w:type="spellStart"/>
      <w:r w:rsidR="00035918" w:rsidRPr="00035918">
        <w:rPr>
          <w:rFonts w:ascii="Times New Roman" w:eastAsia="Times New Roman" w:hAnsi="Times New Roman" w:cs="Times New Roman"/>
          <w:b/>
          <w:sz w:val="24"/>
          <w:szCs w:val="24"/>
        </w:rPr>
        <w:t>Theoretical</w:t>
      </w:r>
      <w:proofErr w:type="spellEnd"/>
      <w:r w:rsidR="00035918" w:rsidRPr="00035918">
        <w:rPr>
          <w:rFonts w:ascii="Times New Roman" w:eastAsia="Times New Roman" w:hAnsi="Times New Roman" w:cs="Times New Roman"/>
          <w:b/>
          <w:sz w:val="24"/>
          <w:szCs w:val="24"/>
        </w:rPr>
        <w:t xml:space="preserve"> Courses</w:t>
      </w:r>
    </w:p>
    <w:p w14:paraId="0F51B62E" w14:textId="1C2677EC" w:rsidR="00601EB7" w:rsidRDefault="007E17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5.3.1.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During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distance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period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courses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can be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held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 of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semester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end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exams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, online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exams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assignments</w:t>
      </w:r>
      <w:proofErr w:type="spellEnd"/>
      <w:r w:rsidR="00035918" w:rsidRPr="000359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CC6C22D" w14:textId="179A7E5D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5.3.2.</w:t>
      </w:r>
      <w:r w:rsid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OBS in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Online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exams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accordance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Yeditepe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Regulations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status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apply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face-to-face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decided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proofErr w:type="spellEnd"/>
      <w:r w:rsidR="00035918" w:rsidRPr="000359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140C6C" w14:textId="33B9628C" w:rsidR="00601EB7" w:rsidRDefault="007E17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5.3.3.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exams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held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(Google Forms,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Coadsysexam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personal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/tablet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connection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gram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gram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Yeditepe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extension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logged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camera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shows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himself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clearly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sound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turned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necessary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2D3712" w14:textId="75C1BE97" w:rsidR="00601EB7" w:rsidRDefault="007E17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5.3.4.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starting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checking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connection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battery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status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updates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video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sound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A66AFC" w14:textId="102669F8" w:rsidR="00601EB7" w:rsidRDefault="007E17CE">
      <w:pP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5.3.5.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conduct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shares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C2646F" w:rsidRPr="00C26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30490" w14:textId="226584B3" w:rsidR="00601EB7" w:rsidRDefault="007E17CE">
      <w:pPr>
        <w:tabs>
          <w:tab w:val="left" w:pos="426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5.3.6.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follow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uploading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petition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stating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he/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share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he/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identity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B2D8F0" w14:textId="424BFD76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 time,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recorded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(Google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CoadsysExam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attend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roll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call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clearly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showing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his/her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93933BF" w14:textId="2BB5B2C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5.3.8.</w:t>
      </w:r>
      <w:r w:rsidR="00B81E11" w:rsidRPr="00B81E11"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monitored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recorded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(Google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Coadsysexam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simultaneous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recording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feature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clear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camera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audio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desired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turned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E3A782" w14:textId="77777777" w:rsidR="00B81E11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5.3.9.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can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stay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long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period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determined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After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period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complete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access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closed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A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student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can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attend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each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only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once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After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clicking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"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Finish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button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after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end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it is not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possible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="00B81E11" w:rsidRPr="00B81E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re-enter.</w:t>
      </w:r>
    </w:p>
    <w:p w14:paraId="028307F3" w14:textId="5BCC4423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5.3.10.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technological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problems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(internet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disconnection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update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battery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run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re-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short-term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breaks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stage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remaining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time.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is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considered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invalid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stated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Yeditepe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midterm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exams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</w:t>
      </w:r>
      <w:proofErr w:type="spellStart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compensated</w:t>
      </w:r>
      <w:proofErr w:type="spellEnd"/>
      <w:r w:rsidR="00B81E11" w:rsidRPr="00B81E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D4956B" w14:textId="6861C1E9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5.3.11.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OBS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752728" w14:textId="1AB5FA6E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5.3.12.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cases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not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physically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residing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located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carried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completely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remotely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online, a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signed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appeal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petition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copy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jpeg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proofErr w:type="gram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format</w:t>
      </w:r>
      <w:proofErr w:type="gram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is sent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secretariat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e-mail.</w:t>
      </w:r>
    </w:p>
    <w:p w14:paraId="766BE8B1" w14:textId="235ED97D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exams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comply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reasons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attempting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cheat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cheating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having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taken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threats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putting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someone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else in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themselves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someone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else,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deemed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invalid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initiated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scope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Institutions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Disciplinary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="00A02FFE"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CAD33A" w14:textId="77777777" w:rsidR="00601EB7" w:rsidRDefault="00601E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6148A" w14:textId="3947D02F" w:rsidR="00601EB7" w:rsidRDefault="00A02F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6:</w:t>
      </w:r>
      <w:r w:rsid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regarding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planning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execution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evaluation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laboratory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explained</w:t>
      </w:r>
      <w:proofErr w:type="spellEnd"/>
      <w:r w:rsidRPr="00A02F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1EBC03" w14:textId="73463F5D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of </w:t>
      </w:r>
      <w:proofErr w:type="spellStart"/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>Laboratory</w:t>
      </w:r>
      <w:proofErr w:type="spellEnd"/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>Clinical</w:t>
      </w:r>
      <w:proofErr w:type="spellEnd"/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/>
          <w:sz w:val="24"/>
          <w:szCs w:val="24"/>
        </w:rPr>
        <w:t>Practices</w:t>
      </w:r>
      <w:proofErr w:type="spellEnd"/>
    </w:p>
    <w:p w14:paraId="6C1F9CAC" w14:textId="40DE4A4A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6.1.1.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Laboratory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Clinical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Practices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can be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planned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under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distance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conditions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line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decisions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taken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Higher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Institution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, Yeditepe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University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management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Ministry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  <w:proofErr w:type="spellEnd"/>
      <w:r w:rsidR="00A02FFE" w:rsidRPr="00A02F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A6DAB" w14:textId="532360CE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stakeholder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opinions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decisions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postponement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cancellation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compensation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Board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implemented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76CE7" w:rsidRPr="00776CE7">
        <w:rPr>
          <w:rFonts w:ascii="Times New Roman" w:eastAsia="Times New Roman" w:hAnsi="Times New Roman" w:cs="Times New Roman"/>
          <w:sz w:val="24"/>
          <w:szCs w:val="24"/>
        </w:rPr>
        <w:t xml:space="preserve"> Dean.</w:t>
      </w:r>
    </w:p>
    <w:p w14:paraId="57DE0446" w14:textId="7777777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6.2. Laboratuvar ve Klinik Uygulamaların Yürütülmesi</w:t>
      </w:r>
    </w:p>
    <w:p w14:paraId="7B56D262" w14:textId="7777777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Dönem başında planlanan laboratuvar uygulamaları, olağanüstü durum koşullarına uygun olarak iş sağlığı ve güvenliği biriminin belirlediği önlemler doğrultusunda yüz yüze yürütülebilir, ertelenebilir, iptal edilebilir veya uzaktan eğitim yöntemleri ile yapı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labilir.</w:t>
      </w:r>
    </w:p>
    <w:p w14:paraId="4CD1FB74" w14:textId="77777777" w:rsidR="00601EB7" w:rsidRDefault="007E17CE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6.2.2.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Laboratuvar uygulamalarında öğrenciler, “Hemşirelik Bölümü Laboratuvarı Kullanım ve İşleyiş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Kuralları”na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uymakla yükümlüdür.</w:t>
      </w:r>
    </w:p>
    <w:p w14:paraId="2EA862BD" w14:textId="7777777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Öğrencilerin uzaktan eğitim sürecinde çevrimiçi olarak sürdürülen laboratuvar ve klinik uygulamaların %80’in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devam etmeleri zorunludur. Ayrıntılı bilgi “Laboratuvar ve Klinik Uygulama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Yönergesi”nde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yer almaktadır.</w:t>
      </w:r>
    </w:p>
    <w:p w14:paraId="0CE0BF16" w14:textId="4BCF470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</w:t>
      </w:r>
      <w:r w:rsidR="00776CE7" w:rsidRPr="00776CE7"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Execution</w:t>
      </w:r>
      <w:proofErr w:type="spellEnd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Laboratory</w:t>
      </w:r>
      <w:proofErr w:type="spellEnd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Clinical</w:t>
      </w:r>
      <w:proofErr w:type="spellEnd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76CE7" w:rsidRPr="00776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Practices</w:t>
      </w:r>
      <w:proofErr w:type="spellEnd"/>
    </w:p>
    <w:p w14:paraId="250F5AFA" w14:textId="24D4F22F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Evaluation of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in Yeditepe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Directive.</w:t>
      </w:r>
    </w:p>
    <w:p w14:paraId="5921F432" w14:textId="7015C45F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evaluated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specified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lecturer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semester</w:t>
      </w:r>
      <w:proofErr w:type="spellEnd"/>
      <w:r w:rsidR="000945B7" w:rsidRPr="00094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21808" w14:textId="77777777" w:rsidR="00601EB7" w:rsidRDefault="00601E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38093AC" w14:textId="51FE46B0" w:rsidR="00601EB7" w:rsidRDefault="00094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 w:rsidR="007E1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5B7"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proofErr w:type="gram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item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consultancy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ethical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5B7">
        <w:rPr>
          <w:rFonts w:ascii="Times New Roman" w:eastAsia="Times New Roman" w:hAnsi="Times New Roman" w:cs="Times New Roman"/>
          <w:sz w:val="24"/>
          <w:szCs w:val="24"/>
        </w:rPr>
        <w:t>explained</w:t>
      </w:r>
      <w:proofErr w:type="spellEnd"/>
      <w:r w:rsidRPr="000945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EAB856" w14:textId="21AE9263" w:rsidR="000945B7" w:rsidRDefault="00094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29CF5" w14:textId="77777777" w:rsidR="000945B7" w:rsidRDefault="00094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DD9C4" w14:textId="2CBDCE21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7.1.</w:t>
      </w:r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Evaluation of </w:t>
      </w:r>
      <w:proofErr w:type="spellStart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Teaching</w:t>
      </w:r>
      <w:proofErr w:type="spellEnd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</w:t>
      </w:r>
      <w:proofErr w:type="spellEnd"/>
    </w:p>
    <w:p w14:paraId="16881B75" w14:textId="0EC83517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7.1.1. </w:t>
      </w:r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Evaluation of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distance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At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semester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theoretical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lessons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"Course Evaluation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Questionnaires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Training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laboratory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Feedback Form"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Laboratory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Feedback Form"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relevant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921684" w14:textId="64D68EBE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7.2.</w:t>
      </w:r>
      <w:r w:rsidR="000945B7" w:rsidRPr="000945B7"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</w:t>
      </w:r>
      <w:proofErr w:type="spellEnd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Counseling</w:t>
      </w:r>
      <w:proofErr w:type="spellEnd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Activities</w:t>
      </w:r>
      <w:proofErr w:type="spellEnd"/>
    </w:p>
    <w:p w14:paraId="4576BCF0" w14:textId="5E6100F2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7.2.1.</w:t>
      </w:r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distance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counseling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carried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Counseling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hours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links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Yeditepe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proofErr w:type="spellEnd"/>
      <w:r w:rsidR="000945B7" w:rsidRPr="000945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3B2E1B" w14:textId="5334D875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="000945B7" w:rsidRPr="000945B7">
        <w:rPr>
          <w:rFonts w:ascii="Times New Roman" w:eastAsia="Times New Roman" w:hAnsi="Times New Roman" w:cs="Times New Roman"/>
          <w:b/>
          <w:sz w:val="24"/>
          <w:szCs w:val="24"/>
        </w:rPr>
        <w:t xml:space="preserve">Ethical </w:t>
      </w:r>
      <w:proofErr w:type="spellStart"/>
      <w:r w:rsidR="000945B7" w:rsidRPr="000945B7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proofErr w:type="spellEnd"/>
    </w:p>
    <w:p w14:paraId="3464C9BB" w14:textId="2CC5EFFB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7.3.1.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Establishing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healthy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instructor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lesson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controlling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absenteeism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ensuring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exam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fair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grading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No. 2547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Data No. 6698 (KVKK).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complete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continuity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audio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recorded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limits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ordered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9BD198" w14:textId="16F3E280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image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recording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audio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obtained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recording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obtained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oral,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audio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specified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here,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Articles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6 of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KVKK,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transferred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kept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gram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kept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472B6" w14:textId="42F6FB1E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lessons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exams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record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instructor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videos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photos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recordings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links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passwords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shared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institutions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17653" w14:textId="3258B19A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person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violating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KVKK is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sharing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original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storing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exam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exam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online platform,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sharing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distributing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correct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answers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. Legal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commit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violation</w:t>
      </w:r>
      <w:proofErr w:type="spellEnd"/>
      <w:r w:rsidR="00D56FD9" w:rsidRPr="00D56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52F90" w14:textId="500993D0" w:rsidR="00601EB7" w:rsidRDefault="007E1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obligation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continue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graduation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termination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of her/his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relationship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8E5FE3" w14:textId="77777777" w:rsidR="00601EB7" w:rsidRDefault="00601E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014042" w14:textId="77777777" w:rsidR="00601EB7" w:rsidRDefault="00601E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0B180A" w14:textId="5988D5CF" w:rsidR="00601EB7" w:rsidRDefault="00D11017">
      <w:pPr>
        <w:spacing w:line="360" w:lineRule="auto"/>
        <w:ind w:left="70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THREE</w:t>
      </w:r>
    </w:p>
    <w:p w14:paraId="18A61F69" w14:textId="1AB6B694" w:rsidR="00601EB7" w:rsidRDefault="00D11017" w:rsidP="00D1101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895">
        <w:rPr>
          <w:rFonts w:ascii="Times New Roman" w:eastAsia="Times New Roman" w:hAnsi="Times New Roman" w:cs="Times New Roman"/>
          <w:sz w:val="24"/>
          <w:szCs w:val="24"/>
        </w:rPr>
        <w:t>SITUATIONS WITH NO PROVISION</w:t>
      </w:r>
    </w:p>
    <w:p w14:paraId="508E898A" w14:textId="634F4FD3" w:rsidR="00601EB7" w:rsidRDefault="00D11017" w:rsidP="00D11017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sz w:val="24"/>
          <w:szCs w:val="24"/>
        </w:rPr>
        <w:t xml:space="preserve"> 8:</w:t>
      </w:r>
      <w:r w:rsidRPr="00D11017"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cases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provision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procedures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Distance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Directive,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Accreditation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Board is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consulted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decision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determined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sz w:val="24"/>
          <w:szCs w:val="24"/>
        </w:rPr>
        <w:t>Accreditation</w:t>
      </w:r>
      <w:proofErr w:type="spellEnd"/>
      <w:r w:rsidRPr="00D11017">
        <w:rPr>
          <w:rFonts w:ascii="Times New Roman" w:eastAsia="Times New Roman" w:hAnsi="Times New Roman" w:cs="Times New Roman"/>
          <w:sz w:val="24"/>
          <w:szCs w:val="24"/>
        </w:rPr>
        <w:t xml:space="preserve"> Board.</w:t>
      </w:r>
    </w:p>
    <w:p w14:paraId="073F60AF" w14:textId="0EED6787" w:rsidR="00601EB7" w:rsidRDefault="00D11017">
      <w:pPr>
        <w:spacing w:line="360" w:lineRule="auto"/>
        <w:ind w:left="70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FOUR</w:t>
      </w:r>
    </w:p>
    <w:p w14:paraId="256CBC1E" w14:textId="61A35494" w:rsidR="00601EB7" w:rsidRDefault="00D11017" w:rsidP="00D1101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3D6">
        <w:rPr>
          <w:rFonts w:ascii="Times New Roman" w:eastAsia="Times New Roman" w:hAnsi="Times New Roman" w:cs="Times New Roman"/>
          <w:sz w:val="24"/>
          <w:szCs w:val="24"/>
        </w:rPr>
        <w:t>FINAL PROVISIONS</w:t>
      </w:r>
    </w:p>
    <w:p w14:paraId="57799A9F" w14:textId="2A9A2A3D" w:rsidR="00601EB7" w:rsidRDefault="00D11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proofErr w:type="spellEnd"/>
      <w:r w:rsidR="007E1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9:</w:t>
      </w:r>
      <w:r w:rsid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Distance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Directive”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comes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approval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Dean of Yeditepe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2DA9CA" w14:textId="2C13E92F" w:rsidR="00601EB7" w:rsidRDefault="00D11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1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</w:t>
      </w:r>
      <w:r w:rsidR="007E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Suggestions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amendments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directive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submitted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Accreditation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Education,Teaching</w:t>
      </w:r>
      <w:proofErr w:type="spellEnd"/>
      <w:proofErr w:type="gram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decided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11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board.</w:t>
      </w:r>
    </w:p>
    <w:p w14:paraId="45D79707" w14:textId="31AB1246" w:rsidR="00601EB7" w:rsidRDefault="007E17CE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11: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directive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administered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Yeditepe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 w:rsidR="00D11017" w:rsidRPr="00D110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601E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AB82" w14:textId="77777777" w:rsidR="007E17CE" w:rsidRDefault="007E17CE">
      <w:pPr>
        <w:spacing w:after="0" w:line="240" w:lineRule="auto"/>
      </w:pPr>
      <w:r>
        <w:separator/>
      </w:r>
    </w:p>
  </w:endnote>
  <w:endnote w:type="continuationSeparator" w:id="0">
    <w:p w14:paraId="09E05E90" w14:textId="77777777" w:rsidR="007E17CE" w:rsidRDefault="007E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CFCE" w14:textId="77777777" w:rsidR="00601EB7" w:rsidRDefault="007E1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2E6A">
      <w:rPr>
        <w:noProof/>
        <w:color w:val="000000"/>
      </w:rPr>
      <w:t>1</w:t>
    </w:r>
    <w:r>
      <w:rPr>
        <w:color w:val="000000"/>
      </w:rPr>
      <w:fldChar w:fldCharType="end"/>
    </w:r>
  </w:p>
  <w:p w14:paraId="19840B26" w14:textId="77777777" w:rsidR="00601EB7" w:rsidRDefault="00601E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0398" w14:textId="77777777" w:rsidR="007E17CE" w:rsidRDefault="007E17CE">
      <w:pPr>
        <w:spacing w:after="0" w:line="240" w:lineRule="auto"/>
      </w:pPr>
      <w:r>
        <w:separator/>
      </w:r>
    </w:p>
  </w:footnote>
  <w:footnote w:type="continuationSeparator" w:id="0">
    <w:p w14:paraId="46B73F2A" w14:textId="77777777" w:rsidR="007E17CE" w:rsidRDefault="007E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63B0" w14:textId="77777777" w:rsidR="00601EB7" w:rsidRDefault="00601EB7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firstLine="0"/>
      <w:jc w:val="left"/>
      <w:rPr>
        <w:rFonts w:ascii="Times New Roman" w:eastAsia="Times New Roman" w:hAnsi="Times New Roman" w:cs="Times New Roman"/>
        <w:b/>
        <w:sz w:val="40"/>
        <w:szCs w:val="40"/>
      </w:rPr>
    </w:pPr>
  </w:p>
  <w:tbl>
    <w:tblPr>
      <w:tblStyle w:val="a2"/>
      <w:tblW w:w="9849" w:type="dxa"/>
      <w:tblInd w:w="-3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14"/>
      <w:gridCol w:w="6399"/>
      <w:gridCol w:w="1284"/>
      <w:gridCol w:w="452"/>
    </w:tblGrid>
    <w:tr w:rsidR="00601EB7" w14:paraId="0F74D4D5" w14:textId="77777777">
      <w:trPr>
        <w:trHeight w:val="228"/>
      </w:trPr>
      <w:tc>
        <w:tcPr>
          <w:tcW w:w="1714" w:type="dxa"/>
          <w:vMerge w:val="restart"/>
          <w:vAlign w:val="center"/>
        </w:tcPr>
        <w:p w14:paraId="10DB2252" w14:textId="77777777" w:rsidR="00601EB7" w:rsidRDefault="00601EB7">
          <w:pPr>
            <w:spacing w:after="0" w:line="240" w:lineRule="auto"/>
            <w:ind w:right="360" w:firstLine="0"/>
            <w:jc w:val="left"/>
            <w:rPr>
              <w:rFonts w:ascii="Tahoma" w:eastAsia="Tahoma" w:hAnsi="Tahoma" w:cs="Tahoma"/>
              <w:b/>
            </w:rPr>
          </w:pPr>
        </w:p>
        <w:p w14:paraId="41C04CED" w14:textId="77777777" w:rsidR="00601EB7" w:rsidRDefault="007E17CE">
          <w:pPr>
            <w:spacing w:after="0" w:line="240" w:lineRule="auto"/>
            <w:ind w:firstLine="0"/>
            <w:jc w:val="left"/>
            <w:rPr>
              <w:rFonts w:ascii="Tahoma" w:eastAsia="Tahoma" w:hAnsi="Tahoma" w:cs="Tahoma"/>
              <w:b/>
            </w:rPr>
          </w:pPr>
          <w:r>
            <w:rPr>
              <w:rFonts w:ascii="Tahoma" w:eastAsia="Tahoma" w:hAnsi="Tahoma" w:cs="Tahoma"/>
              <w:b/>
              <w:noProof/>
            </w:rPr>
            <w:drawing>
              <wp:inline distT="0" distB="0" distL="0" distR="0" wp14:anchorId="2AAA9338" wp14:editId="6CDE88C8">
                <wp:extent cx="1173480" cy="621030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480" cy="621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953EF3A" w14:textId="77777777" w:rsidR="00601EB7" w:rsidRDefault="00601EB7">
          <w:pPr>
            <w:spacing w:after="0" w:line="240" w:lineRule="auto"/>
            <w:ind w:firstLine="0"/>
            <w:jc w:val="left"/>
            <w:rPr>
              <w:rFonts w:ascii="Tahoma" w:eastAsia="Tahoma" w:hAnsi="Tahoma" w:cs="Tahoma"/>
              <w:b/>
            </w:rPr>
          </w:pPr>
        </w:p>
      </w:tc>
      <w:tc>
        <w:tcPr>
          <w:tcW w:w="6399" w:type="dxa"/>
          <w:vMerge w:val="restart"/>
          <w:vAlign w:val="center"/>
        </w:tcPr>
        <w:p w14:paraId="56434C4E" w14:textId="77777777" w:rsidR="00D11017" w:rsidRDefault="007E17CE" w:rsidP="00D11017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YED</w:t>
          </w:r>
          <w:r w:rsidR="00D11017"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I</w:t>
          </w: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 xml:space="preserve">TEPE </w:t>
          </w:r>
          <w:r w:rsidR="00D11017" w:rsidRPr="00921A3B"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UNIVERSITY</w:t>
          </w:r>
        </w:p>
        <w:p w14:paraId="15F0E5B3" w14:textId="77777777" w:rsidR="00D11017" w:rsidRDefault="00D11017" w:rsidP="00D11017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</w:pPr>
          <w:r w:rsidRPr="00921A3B"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FACULTY OF HEALTH SCIENCES</w:t>
          </w:r>
        </w:p>
        <w:p w14:paraId="2D67514A" w14:textId="77777777" w:rsidR="00766759" w:rsidRDefault="00766759" w:rsidP="00766759">
          <w:pPr>
            <w:shd w:val="clear" w:color="auto" w:fill="FFFFFF"/>
            <w:spacing w:after="0"/>
            <w:jc w:val="center"/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</w:pPr>
          <w:r w:rsidRPr="00921A3B"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DEPARTMENT OF NURSING</w:t>
          </w:r>
        </w:p>
        <w:p w14:paraId="09A05D9D" w14:textId="0580999F" w:rsidR="00601EB7" w:rsidRDefault="00766759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</w:pPr>
          <w:r w:rsidRPr="00766759"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DISTANCE EDUCATION DIRECTIVE</w:t>
          </w:r>
        </w:p>
      </w:tc>
      <w:tc>
        <w:tcPr>
          <w:tcW w:w="1284" w:type="dxa"/>
          <w:vAlign w:val="center"/>
        </w:tcPr>
        <w:p w14:paraId="68340C5A" w14:textId="7C2727D4" w:rsidR="00601EB7" w:rsidRDefault="00766759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 w:rsidRPr="00921A3B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Document</w:t>
          </w:r>
          <w:proofErr w:type="spellEnd"/>
          <w:r w:rsidRPr="00921A3B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  <w:proofErr w:type="spellStart"/>
          <w:r w:rsidRPr="00921A3B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number</w:t>
          </w:r>
          <w:proofErr w:type="spellEnd"/>
        </w:p>
      </w:tc>
      <w:tc>
        <w:tcPr>
          <w:tcW w:w="452" w:type="dxa"/>
          <w:vAlign w:val="center"/>
        </w:tcPr>
        <w:p w14:paraId="2FCABB01" w14:textId="77777777" w:rsidR="00601EB7" w:rsidRDefault="00601EB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601EB7" w14:paraId="49039914" w14:textId="77777777">
      <w:trPr>
        <w:trHeight w:val="221"/>
      </w:trPr>
      <w:tc>
        <w:tcPr>
          <w:tcW w:w="1714" w:type="dxa"/>
          <w:vMerge/>
          <w:vAlign w:val="center"/>
        </w:tcPr>
        <w:p w14:paraId="10159D17" w14:textId="77777777" w:rsidR="00601EB7" w:rsidRDefault="00601E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399" w:type="dxa"/>
          <w:vMerge/>
          <w:vAlign w:val="center"/>
        </w:tcPr>
        <w:p w14:paraId="28382731" w14:textId="77777777" w:rsidR="00601EB7" w:rsidRDefault="00601E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284" w:type="dxa"/>
          <w:vAlign w:val="center"/>
        </w:tcPr>
        <w:p w14:paraId="0D44403F" w14:textId="57CAD5CC" w:rsidR="00601EB7" w:rsidRDefault="00766759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Release</w:t>
          </w:r>
          <w:proofErr w:type="spellEnd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  <w:proofErr w:type="spellStart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date</w:t>
          </w:r>
          <w:proofErr w:type="spellEnd"/>
        </w:p>
      </w:tc>
      <w:tc>
        <w:tcPr>
          <w:tcW w:w="452" w:type="dxa"/>
          <w:vAlign w:val="center"/>
        </w:tcPr>
        <w:p w14:paraId="0E616245" w14:textId="77777777" w:rsidR="00601EB7" w:rsidRDefault="00601EB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  <w:tr w:rsidR="00766759" w14:paraId="7EF040DF" w14:textId="77777777" w:rsidTr="000F3F0F">
      <w:trPr>
        <w:trHeight w:val="201"/>
      </w:trPr>
      <w:tc>
        <w:tcPr>
          <w:tcW w:w="1714" w:type="dxa"/>
          <w:vMerge/>
          <w:vAlign w:val="center"/>
        </w:tcPr>
        <w:p w14:paraId="2A146DF5" w14:textId="77777777" w:rsidR="00766759" w:rsidRDefault="00766759" w:rsidP="007667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6399" w:type="dxa"/>
          <w:vMerge/>
          <w:vAlign w:val="center"/>
        </w:tcPr>
        <w:p w14:paraId="6CCB13BD" w14:textId="77777777" w:rsidR="00766759" w:rsidRDefault="00766759" w:rsidP="007667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1284" w:type="dxa"/>
        </w:tcPr>
        <w:p w14:paraId="45C11B4B" w14:textId="3D48B9A7" w:rsidR="00766759" w:rsidRDefault="00766759" w:rsidP="00766759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Revision</w:t>
          </w:r>
          <w:proofErr w:type="spellEnd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  <w:proofErr w:type="spellStart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Number</w:t>
          </w:r>
          <w:proofErr w:type="spellEnd"/>
        </w:p>
      </w:tc>
      <w:tc>
        <w:tcPr>
          <w:tcW w:w="452" w:type="dxa"/>
          <w:vAlign w:val="center"/>
        </w:tcPr>
        <w:p w14:paraId="1C40D9CD" w14:textId="77777777" w:rsidR="00766759" w:rsidRDefault="00766759" w:rsidP="00766759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  <w:tr w:rsidR="00766759" w14:paraId="648A9757" w14:textId="77777777">
      <w:trPr>
        <w:trHeight w:val="196"/>
      </w:trPr>
      <w:tc>
        <w:tcPr>
          <w:tcW w:w="1714" w:type="dxa"/>
          <w:vMerge/>
          <w:vAlign w:val="center"/>
        </w:tcPr>
        <w:p w14:paraId="61F59C14" w14:textId="77777777" w:rsidR="00766759" w:rsidRDefault="00766759" w:rsidP="007667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6399" w:type="dxa"/>
          <w:vMerge/>
          <w:vAlign w:val="center"/>
        </w:tcPr>
        <w:p w14:paraId="267188DA" w14:textId="77777777" w:rsidR="00766759" w:rsidRDefault="00766759" w:rsidP="007667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1284" w:type="dxa"/>
          <w:vAlign w:val="center"/>
        </w:tcPr>
        <w:p w14:paraId="6C9BE803" w14:textId="0C52B20C" w:rsidR="00766759" w:rsidRDefault="00766759" w:rsidP="00766759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Page</w:t>
          </w:r>
          <w:proofErr w:type="spellEnd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  <w:proofErr w:type="spellStart"/>
          <w:r w:rsidRPr="00084DB6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Number</w:t>
          </w:r>
          <w:proofErr w:type="spellEnd"/>
        </w:p>
      </w:tc>
      <w:tc>
        <w:tcPr>
          <w:tcW w:w="452" w:type="dxa"/>
          <w:vAlign w:val="center"/>
        </w:tcPr>
        <w:p w14:paraId="3420AC9B" w14:textId="77777777" w:rsidR="00766759" w:rsidRDefault="00766759" w:rsidP="00766759">
          <w:pPr>
            <w:tabs>
              <w:tab w:val="center" w:pos="4536"/>
              <w:tab w:val="right" w:pos="9072"/>
            </w:tabs>
            <w:spacing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</w:tbl>
  <w:p w14:paraId="33DCC710" w14:textId="77777777" w:rsidR="00601EB7" w:rsidRDefault="00601E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7E2D"/>
    <w:multiLevelType w:val="multilevel"/>
    <w:tmpl w:val="9B220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B7"/>
    <w:rsid w:val="00035918"/>
    <w:rsid w:val="000945B7"/>
    <w:rsid w:val="001E6B2D"/>
    <w:rsid w:val="00430B85"/>
    <w:rsid w:val="004333D6"/>
    <w:rsid w:val="00601EB7"/>
    <w:rsid w:val="006F3E26"/>
    <w:rsid w:val="00740D29"/>
    <w:rsid w:val="00766759"/>
    <w:rsid w:val="00776CE7"/>
    <w:rsid w:val="007E17CE"/>
    <w:rsid w:val="00860155"/>
    <w:rsid w:val="00905307"/>
    <w:rsid w:val="00A02FFE"/>
    <w:rsid w:val="00A26751"/>
    <w:rsid w:val="00AE7139"/>
    <w:rsid w:val="00B81E11"/>
    <w:rsid w:val="00C2646F"/>
    <w:rsid w:val="00D11017"/>
    <w:rsid w:val="00D56FD9"/>
    <w:rsid w:val="00E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2D4B"/>
  <w15:docId w15:val="{8A59DFB5-AE5C-4013-A316-874A688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FC"/>
  </w:style>
  <w:style w:type="paragraph" w:styleId="Balk1">
    <w:name w:val="heading 1"/>
    <w:basedOn w:val="Normal"/>
    <w:next w:val="Normal"/>
    <w:uiPriority w:val="9"/>
    <w:qFormat/>
    <w:rsid w:val="00BC45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BC45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BC45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BC45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BC45F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BC45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BC45F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BC45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847334"/>
    <w:pPr>
      <w:spacing w:line="240" w:lineRule="auto"/>
      <w:ind w:left="708"/>
    </w:pPr>
    <w:rPr>
      <w:rFonts w:ascii="Times New Roman" w:hAnsi="Times New Roman"/>
      <w:b/>
      <w:iCs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4B"/>
  </w:style>
  <w:style w:type="paragraph" w:styleId="AltBilgi">
    <w:name w:val="footer"/>
    <w:basedOn w:val="Normal"/>
    <w:link w:val="AltBilgiChar"/>
    <w:uiPriority w:val="99"/>
    <w:unhideWhenUsed/>
    <w:rsid w:val="001B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4B"/>
  </w:style>
  <w:style w:type="paragraph" w:styleId="NormalWeb">
    <w:name w:val="Normal (Web)"/>
    <w:basedOn w:val="Normal"/>
    <w:uiPriority w:val="99"/>
    <w:unhideWhenUsed/>
    <w:rsid w:val="001B56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B564B"/>
    <w:rPr>
      <w:b/>
      <w:bCs/>
    </w:rPr>
  </w:style>
  <w:style w:type="paragraph" w:styleId="ListeParagraf">
    <w:name w:val="List Paragraph"/>
    <w:basedOn w:val="Normal"/>
    <w:uiPriority w:val="1"/>
    <w:qFormat/>
    <w:rsid w:val="007E6AC8"/>
    <w:pPr>
      <w:spacing w:after="160" w:line="259" w:lineRule="auto"/>
      <w:ind w:left="720" w:firstLine="0"/>
      <w:contextualSpacing/>
      <w:jc w:val="left"/>
    </w:pPr>
  </w:style>
  <w:style w:type="character" w:styleId="Kpr">
    <w:name w:val="Hyperlink"/>
    <w:basedOn w:val="VarsaylanParagrafYazTipi"/>
    <w:uiPriority w:val="99"/>
    <w:unhideWhenUsed/>
    <w:rsid w:val="00325F6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25F63"/>
    <w:rPr>
      <w:color w:val="605E5C"/>
      <w:shd w:val="clear" w:color="auto" w:fill="E1DFDD"/>
    </w:rPr>
  </w:style>
  <w:style w:type="paragraph" w:customStyle="1" w:styleId="Default">
    <w:name w:val="Default"/>
    <w:rsid w:val="00223B6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rsid w:val="00BC45F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rsid w:val="00BC45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C45FC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BC45FC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771"/>
    <w:rPr>
      <w:rFonts w:ascii="Tahoma" w:hAnsi="Tahoma" w:cs="Tahoma"/>
      <w:sz w:val="16"/>
      <w:szCs w:val="16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7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7BD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yeditepe.edu.tr/sites/default/files/images/coadsys_tr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yeditepe.edu.tr/tr/duyuru/yeditepe-universitesi-uzaktan-egitim-uygulama-esaslar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Pq4jzKwVxlMu0UshFgPKsz9BA==">AMUW2mXsIpqulV93mwX4tlA/LAzUsmG9on9lHsgNJTiSRSAEsvCiv28UbL3G9XEU3tY+fYj9bjAyxS2Ays+WxvVTyj7vEALQHYS59k5Zso0nZhjV2qikGBl2TU+jW0eLY0yUklK/l9nS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4B25CB-26C2-4597-973A-9885491F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zeren</dc:creator>
  <cp:lastModifiedBy>Şevval çağan</cp:lastModifiedBy>
  <cp:revision>2</cp:revision>
  <dcterms:created xsi:type="dcterms:W3CDTF">2022-03-06T12:40:00Z</dcterms:created>
  <dcterms:modified xsi:type="dcterms:W3CDTF">2022-03-06T12:40:00Z</dcterms:modified>
</cp:coreProperties>
</file>