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288.0" w:type="dxa"/>
        <w:jc w:val="left"/>
        <w:tblInd w:w="0.0" w:type="dxa"/>
        <w:tblLayout w:type="fixed"/>
        <w:tblLook w:val="0400"/>
      </w:tblPr>
      <w:tblGrid>
        <w:gridCol w:w="9288"/>
        <w:tblGridChange w:id="0">
          <w:tblGrid>
            <w:gridCol w:w="9288"/>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LABORATORY RULES</w:t>
            </w: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0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The safety and rights of students and patients are taken </w:t>
            </w:r>
            <w:r w:rsidDel="00000000" w:rsidR="00000000" w:rsidRPr="00000000">
              <w:rPr>
                <w:rFonts w:ascii="Times New Roman" w:cs="Times New Roman" w:eastAsia="Times New Roman" w:hAnsi="Times New Roman"/>
                <w:rtl w:val="0"/>
              </w:rPr>
              <w:t xml:space="preserve">as the basis</w:t>
            </w:r>
            <w:r w:rsidDel="00000000" w:rsidR="00000000" w:rsidRPr="00000000">
              <w:rPr>
                <w:rFonts w:ascii="Times New Roman" w:cs="Times New Roman" w:eastAsia="Times New Roman" w:hAnsi="Times New Roman"/>
                <w:color w:val="000000"/>
                <w:rtl w:val="0"/>
              </w:rPr>
              <w:t xml:space="preserve"> in laboratory practices that prepare the student for a real professional working environment. On this basis, the laboratory rules are as follows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r>
        <w:trPr>
          <w:cantSplit w:val="0"/>
          <w:tblHeader w:val="0"/>
        </w:trPr>
        <w:tc>
          <w:tcPr>
            <w:shd w:fill="e7e6e6" w:val="clear"/>
            <w:tcMar>
              <w:top w:w="0.0" w:type="dxa"/>
              <w:left w:w="108.0" w:type="dxa"/>
              <w:bottom w:w="0.0" w:type="dxa"/>
              <w:right w:w="108.0" w:type="dxa"/>
            </w:tcMar>
          </w:tcPr>
          <w:p w:rsidR="00000000" w:rsidDel="00000000" w:rsidP="00000000" w:rsidRDefault="00000000" w:rsidRPr="00000000" w14:paraId="00000006">
            <w:pPr>
              <w:numPr>
                <w:ilvl w:val="0"/>
                <w:numId w:val="1"/>
              </w:numPr>
              <w:spacing w:after="120" w:before="120" w:lineRule="auto"/>
              <w:ind w:left="72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student will participate in every lab work in a white coat. Unbutton of aprons should be closed, student IDs should be attached, and the general appearance should be in accordance with the integrity of the uniform (hair should be completely collected from the back, nails will be clean-short and without polish, a watch will be kept for seconds, and no jewelry other than small earrings will be worn). The student must provide his / her Personal Protective Equipment (mask, gloves, </w:t>
            </w:r>
            <w:r w:rsidDel="00000000" w:rsidR="00000000" w:rsidRPr="00000000">
              <w:rPr>
                <w:rFonts w:ascii="Times New Roman" w:cs="Times New Roman" w:eastAsia="Times New Roman" w:hAnsi="Times New Roman"/>
                <w:rtl w:val="0"/>
              </w:rPr>
              <w:t xml:space="preserve">face shield</w:t>
            </w:r>
            <w:r w:rsidDel="00000000" w:rsidR="00000000" w:rsidRPr="00000000">
              <w:rPr>
                <w:rFonts w:ascii="Times New Roman" w:cs="Times New Roman" w:eastAsia="Times New Roman" w:hAnsi="Times New Roman"/>
                <w:color w:val="000000"/>
                <w:rtl w:val="0"/>
              </w:rPr>
              <w:t xml:space="preserve">, etc.) when necessary and use it properly.</w:t>
            </w:r>
            <w:r w:rsidDel="00000000" w:rsidR="00000000" w:rsidRPr="00000000">
              <w:rPr>
                <w:rtl w:val="0"/>
              </w:rPr>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7">
            <w:pPr>
              <w:numPr>
                <w:ilvl w:val="0"/>
                <w:numId w:val="1"/>
              </w:numPr>
              <w:spacing w:after="120" w:before="120" w:lineRule="auto"/>
              <w:ind w:left="72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student should </w:t>
            </w:r>
            <w:r w:rsidDel="00000000" w:rsidR="00000000" w:rsidRPr="00000000">
              <w:rPr>
                <w:rFonts w:ascii="Times New Roman" w:cs="Times New Roman" w:eastAsia="Times New Roman" w:hAnsi="Times New Roman"/>
                <w:rtl w:val="0"/>
              </w:rPr>
              <w:t xml:space="preserve">appropriately</w:t>
            </w:r>
            <w:r w:rsidDel="00000000" w:rsidR="00000000" w:rsidRPr="00000000">
              <w:rPr>
                <w:rFonts w:ascii="Times New Roman" w:cs="Times New Roman" w:eastAsia="Times New Roman" w:hAnsi="Times New Roman"/>
                <w:color w:val="000000"/>
                <w:rtl w:val="0"/>
              </w:rPr>
              <w:t xml:space="preserve"> communicate with their instructors and friends in a laboratory environment. During the practice, it should be studied quietly, regularly and in harmony.</w:t>
            </w:r>
            <w:r w:rsidDel="00000000" w:rsidR="00000000" w:rsidRPr="00000000">
              <w:rPr>
                <w:rtl w:val="0"/>
              </w:rPr>
            </w:r>
          </w:p>
        </w:tc>
      </w:tr>
      <w:tr>
        <w:trPr>
          <w:cantSplit w:val="0"/>
          <w:tblHeader w:val="0"/>
        </w:trPr>
        <w:tc>
          <w:tcPr>
            <w:shd w:fill="e7e6e6" w:val="clear"/>
            <w:tcMar>
              <w:top w:w="0.0" w:type="dxa"/>
              <w:left w:w="108.0" w:type="dxa"/>
              <w:bottom w:w="0.0" w:type="dxa"/>
              <w:right w:w="108.0" w:type="dxa"/>
            </w:tcMar>
          </w:tcPr>
          <w:p w:rsidR="00000000" w:rsidDel="00000000" w:rsidP="00000000" w:rsidRDefault="00000000" w:rsidRPr="00000000" w14:paraId="00000008">
            <w:pPr>
              <w:numPr>
                <w:ilvl w:val="0"/>
                <w:numId w:val="1"/>
              </w:numPr>
              <w:spacing w:after="120" w:before="120" w:lineRule="auto"/>
              <w:ind w:left="72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During and after the laboratory work, each student is responsible for using the models and fixtures in the laboratory in a way that does not damage them, ensuring their cleanliness and order.</w:t>
            </w:r>
            <w:r w:rsidDel="00000000" w:rsidR="00000000" w:rsidRPr="00000000">
              <w:rPr>
                <w:rtl w:val="0"/>
              </w:rPr>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9">
            <w:pPr>
              <w:numPr>
                <w:ilvl w:val="0"/>
                <w:numId w:val="1"/>
              </w:numPr>
              <w:spacing w:after="120" w:before="120" w:lineRule="auto"/>
              <w:ind w:left="72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It is compulsory to attend 80% of the laboratory studies, since the laboratory practices are performed according to the skill groups, the student arriving later than the specified time is not put into practice and is considered absent during the skill group practice process.</w:t>
            </w:r>
            <w:r w:rsidDel="00000000" w:rsidR="00000000" w:rsidRPr="00000000">
              <w:rPr>
                <w:rtl w:val="0"/>
              </w:rPr>
            </w:r>
          </w:p>
        </w:tc>
      </w:tr>
      <w:tr>
        <w:trPr>
          <w:cantSplit w:val="0"/>
          <w:tblHeader w:val="0"/>
        </w:trPr>
        <w:tc>
          <w:tcPr>
            <w:shd w:fill="e7e6e6" w:val="clear"/>
            <w:tcMar>
              <w:top w:w="0.0" w:type="dxa"/>
              <w:left w:w="108.0" w:type="dxa"/>
              <w:bottom w:w="0.0" w:type="dxa"/>
              <w:right w:w="108.0" w:type="dxa"/>
            </w:tcMar>
          </w:tcPr>
          <w:p w:rsidR="00000000" w:rsidDel="00000000" w:rsidP="00000000" w:rsidRDefault="00000000" w:rsidRPr="00000000" w14:paraId="0000000A">
            <w:pPr>
              <w:numPr>
                <w:ilvl w:val="0"/>
                <w:numId w:val="1"/>
              </w:numPr>
              <w:spacing w:after="120" w:before="120" w:lineRule="auto"/>
              <w:ind w:left="72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NHS 102 Fundamentals of Nursing I course must complete all practices defined in the skill list. A student who does not fulfill this requirement or takes less than 50 out of 100 points in the laboratory evaluation exam of this course cannot take the final exam of the course.</w:t>
            </w:r>
            <w:r w:rsidDel="00000000" w:rsidR="00000000" w:rsidRPr="00000000">
              <w:rPr>
                <w:rtl w:val="0"/>
              </w:rPr>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B">
            <w:pPr>
              <w:numPr>
                <w:ilvl w:val="0"/>
                <w:numId w:val="1"/>
              </w:numPr>
              <w:spacing w:after="120" w:before="120" w:lineRule="auto"/>
              <w:ind w:left="72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Practices in the laboratory will be carried out with the lecturer / staff of the course.</w:t>
            </w:r>
            <w:r w:rsidDel="00000000" w:rsidR="00000000" w:rsidRPr="00000000">
              <w:rPr>
                <w:rtl w:val="0"/>
              </w:rPr>
            </w:r>
          </w:p>
        </w:tc>
      </w:tr>
      <w:tr>
        <w:trPr>
          <w:cantSplit w:val="0"/>
          <w:tblHeader w:val="0"/>
        </w:trPr>
        <w:tc>
          <w:tcPr>
            <w:shd w:fill="e7e6e6" w:val="clear"/>
            <w:tcMar>
              <w:top w:w="0.0" w:type="dxa"/>
              <w:left w:w="108.0" w:type="dxa"/>
              <w:bottom w:w="0.0" w:type="dxa"/>
              <w:right w:w="108.0" w:type="dxa"/>
            </w:tcMar>
          </w:tcPr>
          <w:p w:rsidR="00000000" w:rsidDel="00000000" w:rsidP="00000000" w:rsidRDefault="00000000" w:rsidRPr="00000000" w14:paraId="0000000C">
            <w:pPr>
              <w:numPr>
                <w:ilvl w:val="0"/>
                <w:numId w:val="1"/>
              </w:numPr>
              <w:spacing w:after="120" w:before="120" w:lineRule="auto"/>
              <w:ind w:left="72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Students will not be able to leave the laboratory without permission.</w:t>
            </w:r>
            <w:r w:rsidDel="00000000" w:rsidR="00000000" w:rsidRPr="00000000">
              <w:rPr>
                <w:rtl w:val="0"/>
              </w:rPr>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D">
            <w:pPr>
              <w:numPr>
                <w:ilvl w:val="0"/>
                <w:numId w:val="1"/>
              </w:numPr>
              <w:spacing w:after="120" w:before="120" w:lineRule="auto"/>
              <w:ind w:left="72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laboratory cannot be entered with any food or drink other than water.</w:t>
            </w:r>
            <w:r w:rsidDel="00000000" w:rsidR="00000000" w:rsidRPr="00000000">
              <w:rPr>
                <w:rtl w:val="0"/>
              </w:rPr>
            </w:r>
          </w:p>
        </w:tc>
      </w:tr>
      <w:tr>
        <w:trPr>
          <w:cantSplit w:val="0"/>
          <w:tblHeader w:val="0"/>
        </w:trPr>
        <w:tc>
          <w:tcPr>
            <w:shd w:fill="e7e6e6" w:val="clear"/>
            <w:tcMar>
              <w:top w:w="0.0" w:type="dxa"/>
              <w:left w:w="108.0" w:type="dxa"/>
              <w:bottom w:w="0.0" w:type="dxa"/>
              <w:right w:w="108.0" w:type="dxa"/>
            </w:tcMar>
          </w:tcPr>
          <w:p w:rsidR="00000000" w:rsidDel="00000000" w:rsidP="00000000" w:rsidRDefault="00000000" w:rsidRPr="00000000" w14:paraId="0000000E">
            <w:pPr>
              <w:numPr>
                <w:ilvl w:val="0"/>
                <w:numId w:val="1"/>
              </w:numPr>
              <w:spacing w:after="120" w:before="120" w:lineRule="auto"/>
              <w:ind w:left="72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Materials / items (such as bags) will not be brought to the laboratory practices other than course materials; they will be kept locked in personal cabinets. Cell phones will be kept off or silent and will not be used during lessons / practice. Coat / topcoat etc. such clothes will be hung in the small part of the laboratory (inner room).</w:t>
            </w:r>
            <w:r w:rsidDel="00000000" w:rsidR="00000000" w:rsidRPr="00000000">
              <w:rPr>
                <w:rtl w:val="0"/>
              </w:rPr>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F">
            <w:pPr>
              <w:numPr>
                <w:ilvl w:val="0"/>
                <w:numId w:val="1"/>
              </w:numPr>
              <w:spacing w:after="120" w:before="120" w:line="240" w:lineRule="auto"/>
              <w:ind w:left="720" w:hanging="360"/>
              <w:jc w:val="both"/>
              <w:rPr>
                <w:rFonts w:ascii="Times New Roman" w:cs="Times New Roman" w:eastAsia="Times New Roman" w:hAnsi="Times New Roman"/>
                <w:color w:val="000000"/>
                <w:highlight w:val="white"/>
                <w:u w:val="none"/>
              </w:rPr>
            </w:pPr>
            <w:r w:rsidDel="00000000" w:rsidR="00000000" w:rsidRPr="00000000">
              <w:rPr>
                <w:rFonts w:ascii="Times New Roman" w:cs="Times New Roman" w:eastAsia="Times New Roman" w:hAnsi="Times New Roman"/>
                <w:color w:val="000000"/>
                <w:highlight w:val="white"/>
                <w:rtl w:val="0"/>
              </w:rPr>
              <w:t xml:space="preserve">Laboratory free working hours are announced by the laboratory supervisor at the beginning of each term. Freelance work is not allowed on weekends. Students must obtain permission from the laboratory supervisor for free working hours.</w:t>
            </w: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1">
      <w:pPr>
        <w:jc w:val="right"/>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Name Surname:                   </w:t>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Date:</w:t>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Sign:</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591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38257F"/>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nikSDMwaWT3BJdAc+4uUX+CaWg==">AMUW2mW3Gv+Cr2uPvcwt8O6eKLL4tF6DRQmVZXMQ3ZnDnbvPqt5KhQuZp4Smx1HxKuF7g0ZSMdZbWFthL7hZlJYtFCiy0MmaFO75nb17DjTmU9r5CEMNF/k=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2022-03-01T16:48:00Z</dcterms:created>
  <dc:creator>ayşenur keleş</dc:creator>
</cp:coreProperties>
</file>