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288.0" w:type="dxa"/>
        <w:jc w:val="left"/>
        <w:tblInd w:w="0.0" w:type="dxa"/>
        <w:tblLayout w:type="fixed"/>
        <w:tblLook w:val="0400"/>
      </w:tblPr>
      <w:tblGrid>
        <w:gridCol w:w="9288"/>
        <w:tblGridChange w:id="0">
          <w:tblGrid>
            <w:gridCol w:w="928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02">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CLINICAL PRACTICE RULES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w:t>
            </w:r>
            <w:r w:rsidDel="00000000" w:rsidR="00000000" w:rsidRPr="00000000">
              <w:rPr>
                <w:rtl w:val="0"/>
              </w:rPr>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4">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Practices in the clinic will be carried out with the clinical lecturer/clinical instructor of the course, clinical guide nurse or clinical charge nurse.</w:t>
            </w:r>
          </w:p>
        </w:tc>
      </w:tr>
      <w:tr>
        <w:trPr>
          <w:cantSplit w:val="0"/>
          <w:trHeight w:val="735" w:hRule="atLeast"/>
          <w:tblHeader w:val="0"/>
        </w:trPr>
        <w:tc>
          <w:tcPr>
            <w:tcMar>
              <w:top w:w="0.0" w:type="dxa"/>
              <w:left w:w="108.0" w:type="dxa"/>
              <w:bottom w:w="0.0" w:type="dxa"/>
              <w:right w:w="108.0" w:type="dxa"/>
            </w:tcMar>
          </w:tcPr>
          <w:p w:rsidR="00000000" w:rsidDel="00000000" w:rsidP="00000000" w:rsidRDefault="00000000" w:rsidRPr="00000000" w14:paraId="00000005">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During the practice, </w:t>
            </w: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color w:val="000000"/>
                <w:sz w:val="24"/>
                <w:szCs w:val="24"/>
                <w:rtl w:val="0"/>
              </w:rPr>
              <w:t xml:space="preserve"> can use only a watch and small earrings as accessories, their hair should be tidy and personal hygiene should be taken care of.</w:t>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6">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shd w:fill="e7e6e6" w:val="clear"/>
              </w:rPr>
            </w:pPr>
            <w:r w:rsidDel="00000000" w:rsidR="00000000" w:rsidRPr="00000000">
              <w:rPr>
                <w:rFonts w:ascii="Times New Roman" w:cs="Times New Roman" w:eastAsia="Times New Roman" w:hAnsi="Times New Roman"/>
                <w:sz w:val="24"/>
                <w:szCs w:val="24"/>
                <w:shd w:fill="e7e6e6" w:val="clear"/>
                <w:rtl w:val="0"/>
              </w:rPr>
              <w:t xml:space="preserve">They have to wear Yeditepe University’s student nurse uniforms and c</w:t>
            </w:r>
            <w:r w:rsidDel="00000000" w:rsidR="00000000" w:rsidRPr="00000000">
              <w:rPr>
                <w:rFonts w:ascii="Times New Roman" w:cs="Times New Roman" w:eastAsia="Times New Roman" w:hAnsi="Times New Roman"/>
                <w:color w:val="000000"/>
                <w:sz w:val="24"/>
                <w:szCs w:val="24"/>
                <w:shd w:fill="e7e6e6" w:val="clear"/>
                <w:rtl w:val="0"/>
              </w:rPr>
              <w:t xml:space="preserve">annot go out of the hospital with the uniforms.</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7">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Must carry ID </w:t>
            </w:r>
            <w:r w:rsidDel="00000000" w:rsidR="00000000" w:rsidRPr="00000000">
              <w:rPr>
                <w:rFonts w:ascii="Times New Roman" w:cs="Times New Roman" w:eastAsia="Times New Roman" w:hAnsi="Times New Roman"/>
                <w:sz w:val="24"/>
                <w:szCs w:val="24"/>
                <w:rtl w:val="0"/>
              </w:rPr>
              <w:t xml:space="preserve">cards</w:t>
            </w:r>
            <w:r w:rsidDel="00000000" w:rsidR="00000000" w:rsidRPr="00000000">
              <w:rPr>
                <w:rFonts w:ascii="Times New Roman" w:cs="Times New Roman" w:eastAsia="Times New Roman" w:hAnsi="Times New Roman"/>
                <w:color w:val="000000"/>
                <w:sz w:val="24"/>
                <w:szCs w:val="24"/>
                <w:rtl w:val="0"/>
              </w:rPr>
              <w:t xml:space="preserve"> visibly throughout clinical practice.</w:t>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8">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color w:val="000000"/>
                <w:sz w:val="24"/>
                <w:szCs w:val="24"/>
                <w:rtl w:val="0"/>
              </w:rPr>
              <w:t xml:space="preserve"> should behave in a manner appropriate to the clinical environment in communication, work, and discipline.</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9">
            <w:pPr>
              <w:numPr>
                <w:ilvl w:val="0"/>
                <w:numId w:val="1"/>
              </w:numPr>
              <w:spacing w:after="16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Attendance</w:t>
            </w:r>
            <w:r w:rsidDel="00000000" w:rsidR="00000000" w:rsidRPr="00000000">
              <w:rPr>
                <w:rFonts w:ascii="Times New Roman" w:cs="Times New Roman" w:eastAsia="Times New Roman" w:hAnsi="Times New Roman"/>
                <w:color w:val="000000"/>
                <w:sz w:val="24"/>
                <w:szCs w:val="24"/>
                <w:rtl w:val="0"/>
              </w:rPr>
              <w:t xml:space="preserve"> of clinical practice is mandatory. Attendance is carried out in accordance with Article 24 of the Yeditepe University Associate and Undergraduate Education, Training and Examination Regulations. The student who cannot participate in the clinical practice must notify the clinical instructor </w:t>
            </w:r>
            <w:r w:rsidDel="00000000" w:rsidR="00000000" w:rsidRPr="00000000">
              <w:rPr>
                <w:rFonts w:ascii="Times New Roman" w:cs="Times New Roman" w:eastAsia="Times New Roman" w:hAnsi="Times New Roman"/>
                <w:sz w:val="24"/>
                <w:szCs w:val="24"/>
                <w:rtl w:val="0"/>
              </w:rPr>
              <w:t xml:space="preserve">of the excuse</w:t>
            </w:r>
            <w:r w:rsidDel="00000000" w:rsidR="00000000" w:rsidRPr="00000000">
              <w:rPr>
                <w:rFonts w:ascii="Times New Roman" w:cs="Times New Roman" w:eastAsia="Times New Roman" w:hAnsi="Times New Roman"/>
                <w:color w:val="000000"/>
                <w:sz w:val="24"/>
                <w:szCs w:val="24"/>
                <w:rtl w:val="0"/>
              </w:rPr>
              <w:t xml:space="preserve"> in advance.</w:t>
            </w:r>
          </w:p>
        </w:tc>
      </w:tr>
      <w:tr>
        <w:trPr>
          <w:cantSplit w:val="0"/>
          <w:trHeight w:val="804" w:hRule="atLeast"/>
          <w:tblHeader w:val="0"/>
        </w:trPr>
        <w:tc>
          <w:tcPr>
            <w:shd w:fill="e7e6e6" w:val="clear"/>
            <w:tcMar>
              <w:top w:w="0.0" w:type="dxa"/>
              <w:left w:w="108.0" w:type="dxa"/>
              <w:bottom w:w="0.0" w:type="dxa"/>
              <w:right w:w="108.0" w:type="dxa"/>
            </w:tcMar>
          </w:tcPr>
          <w:p w:rsidR="00000000" w:rsidDel="00000000" w:rsidP="00000000" w:rsidRDefault="00000000" w:rsidRPr="00000000" w14:paraId="0000000A">
            <w:pPr>
              <w:numPr>
                <w:ilvl w:val="0"/>
                <w:numId w:val="1"/>
              </w:numPr>
              <w:spacing w:after="16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In case of extraordinary situations, </w:t>
            </w:r>
            <w:r w:rsidDel="00000000" w:rsidR="00000000" w:rsidRPr="00000000">
              <w:rPr>
                <w:rFonts w:ascii="Times New Roman" w:cs="Times New Roman" w:eastAsia="Times New Roman" w:hAnsi="Times New Roman"/>
                <w:sz w:val="24"/>
                <w:szCs w:val="24"/>
                <w:rtl w:val="0"/>
              </w:rPr>
              <w:t xml:space="preserve">clinical practice</w:t>
            </w:r>
            <w:r w:rsidDel="00000000" w:rsidR="00000000" w:rsidRPr="00000000">
              <w:rPr>
                <w:rFonts w:ascii="Times New Roman" w:cs="Times New Roman" w:eastAsia="Times New Roman" w:hAnsi="Times New Roman"/>
                <w:color w:val="000000"/>
                <w:sz w:val="24"/>
                <w:szCs w:val="24"/>
                <w:rtl w:val="0"/>
              </w:rPr>
              <w:t xml:space="preserve"> absenteeism period is exceeded, the student's official application for compensation </w:t>
            </w:r>
            <w:r w:rsidDel="00000000" w:rsidR="00000000" w:rsidRPr="00000000">
              <w:rPr>
                <w:rFonts w:ascii="Times New Roman" w:cs="Times New Roman" w:eastAsia="Times New Roman" w:hAnsi="Times New Roman"/>
                <w:sz w:val="24"/>
                <w:szCs w:val="24"/>
                <w:rtl w:val="0"/>
              </w:rPr>
              <w:t xml:space="preserve">will be evaluated</w:t>
            </w:r>
            <w:r w:rsidDel="00000000" w:rsidR="00000000" w:rsidRPr="00000000">
              <w:rPr>
                <w:rFonts w:ascii="Times New Roman" w:cs="Times New Roman" w:eastAsia="Times New Roman" w:hAnsi="Times New Roman"/>
                <w:color w:val="000000"/>
                <w:sz w:val="24"/>
                <w:szCs w:val="24"/>
                <w:rtl w:val="0"/>
              </w:rPr>
              <w:t xml:space="preserve"> by the Nursing Department Board. The number of days to </w:t>
            </w:r>
            <w:r w:rsidDel="00000000" w:rsidR="00000000" w:rsidRPr="00000000">
              <w:rPr>
                <w:rFonts w:ascii="Times New Roman" w:cs="Times New Roman" w:eastAsia="Times New Roman" w:hAnsi="Times New Roman"/>
                <w:sz w:val="24"/>
                <w:szCs w:val="24"/>
                <w:rtl w:val="0"/>
              </w:rPr>
              <w:t xml:space="preserve">attend </w:t>
            </w:r>
            <w:r w:rsidDel="00000000" w:rsidR="00000000" w:rsidRPr="00000000">
              <w:rPr>
                <w:rFonts w:ascii="Times New Roman" w:cs="Times New Roman" w:eastAsia="Times New Roman" w:hAnsi="Times New Roman"/>
                <w:color w:val="000000"/>
                <w:sz w:val="24"/>
                <w:szCs w:val="24"/>
                <w:rtl w:val="0"/>
              </w:rPr>
              <w:t xml:space="preserve">cannot exceed 20% of the total clinical practice of the course.</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B">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In clinical practice courses, absenteeism is followed from the start date of the course specified in the academic calendar. Therefore, course registration must be made without waiting for the Add-Drop period. To be able to evaluate the courses regarding the practices, they must continue the whole practice, at least 80% even in extraordinary situations.</w:t>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C">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Cannot leave the clinic without permission.</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D">
            <w:pPr>
              <w:numPr>
                <w:ilvl w:val="0"/>
                <w:numId w:val="1"/>
              </w:numPr>
              <w:spacing w:after="16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mealtime is 30 minutes and </w:t>
            </w: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color w:val="000000"/>
                <w:sz w:val="24"/>
                <w:szCs w:val="24"/>
                <w:rtl w:val="0"/>
              </w:rPr>
              <w:t xml:space="preserve"> go to the lunch break alternately and </w:t>
            </w:r>
            <w:r w:rsidDel="00000000" w:rsidR="00000000" w:rsidRPr="00000000">
              <w:rPr>
                <w:rFonts w:ascii="Times New Roman" w:cs="Times New Roman" w:eastAsia="Times New Roman" w:hAnsi="Times New Roman"/>
                <w:sz w:val="24"/>
                <w:szCs w:val="24"/>
                <w:rtl w:val="0"/>
              </w:rPr>
              <w:t xml:space="preserve">they need to give a hand off report</w:t>
            </w:r>
            <w:r w:rsidDel="00000000" w:rsidR="00000000" w:rsidRPr="00000000">
              <w:rPr>
                <w:rFonts w:ascii="Times New Roman" w:cs="Times New Roman" w:eastAsia="Times New Roman" w:hAnsi="Times New Roman"/>
                <w:color w:val="000000"/>
                <w:sz w:val="24"/>
                <w:szCs w:val="24"/>
                <w:rtl w:val="0"/>
              </w:rPr>
              <w:t xml:space="preserve"> about their patient to their peers. </w:t>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E">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No image or sound recording is taken during clinical practice. No documents, tools or equipment can be taken out of the clinic. *</w:t>
            </w:r>
          </w:p>
        </w:tc>
      </w:tr>
      <w:tr>
        <w:trPr>
          <w:cantSplit w:val="0"/>
          <w:tblHeader w:val="0"/>
        </w:trPr>
        <w:tc>
          <w:tcPr>
            <w:shd w:fill="ffffff" w:val="clear"/>
            <w:tcMar>
              <w:top w:w="0.0" w:type="dxa"/>
              <w:left w:w="108.0" w:type="dxa"/>
              <w:bottom w:w="0.0" w:type="dxa"/>
              <w:right w:w="108.0" w:type="dxa"/>
            </w:tcMar>
            <w:vAlign w:val="center"/>
          </w:tcPr>
          <w:p w:rsidR="00000000" w:rsidDel="00000000" w:rsidP="00000000" w:rsidRDefault="00000000" w:rsidRPr="00000000" w14:paraId="0000000F">
            <w:pPr>
              <w:numPr>
                <w:ilvl w:val="0"/>
                <w:numId w:val="1"/>
              </w:numPr>
              <w:spacing w:after="16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Cannot use substances such as tobacco or alcohol during clinical practice or near practice place. **</w:t>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10">
            <w:pPr>
              <w:numPr>
                <w:ilvl w:val="0"/>
                <w:numId w:val="1"/>
              </w:numPr>
              <w:spacing w:after="16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Does not have the authority to fill in the documents of the institution he / she applies to, he / she is only responsible for registering in the student file. </w:t>
            </w:r>
          </w:p>
        </w:tc>
      </w:tr>
      <w:tr>
        <w:trPr>
          <w:cantSplit w:val="0"/>
          <w:trHeight w:val="770.0000000000006" w:hRule="atLeast"/>
          <w:tblHeader w:val="0"/>
        </w:trPr>
        <w:tc>
          <w:tcPr>
            <w:tcBorders>
              <w:bottom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1">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Follows the occupational health and safety rules of the clinic/institution where it is applied. It is forbidden to enter unauthorized and restricted areas.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12">
            <w:pPr>
              <w:numPr>
                <w:ilvl w:val="0"/>
                <w:numId w:val="1"/>
              </w:numPr>
              <w:spacing w:after="120" w:before="12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If there is any injury during the application, it acts in accordance with the instructions stated in the "Things to Pay Attention to After </w:t>
            </w:r>
            <w:r w:rsidDel="00000000" w:rsidR="00000000" w:rsidRPr="00000000">
              <w:rPr>
                <w:rFonts w:ascii="Times New Roman" w:cs="Times New Roman" w:eastAsia="Times New Roman" w:hAnsi="Times New Roman"/>
                <w:sz w:val="24"/>
                <w:szCs w:val="24"/>
                <w:rtl w:val="0"/>
              </w:rPr>
              <w:t xml:space="preserve">Clinical Occupational</w:t>
            </w:r>
            <w:r w:rsidDel="00000000" w:rsidR="00000000" w:rsidRPr="00000000">
              <w:rPr>
                <w:rFonts w:ascii="Times New Roman" w:cs="Times New Roman" w:eastAsia="Times New Roman" w:hAnsi="Times New Roman"/>
                <w:color w:val="000000"/>
                <w:sz w:val="24"/>
                <w:szCs w:val="24"/>
                <w:rtl w:val="0"/>
              </w:rPr>
              <w:t xml:space="preserve"> Injuries".</w:t>
            </w:r>
          </w:p>
        </w:tc>
      </w:tr>
    </w:tbl>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Turkish Penal Code Articles 135 and 136</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Official </w:t>
      </w:r>
      <w:r w:rsidDel="00000000" w:rsidR="00000000" w:rsidRPr="00000000">
        <w:rPr>
          <w:rFonts w:ascii="Times New Roman" w:cs="Times New Roman" w:eastAsia="Times New Roman" w:hAnsi="Times New Roman"/>
          <w:i w:val="1"/>
          <w:sz w:val="24"/>
          <w:szCs w:val="24"/>
          <w:rtl w:val="0"/>
        </w:rPr>
        <w:t xml:space="preserve">Newspaper</w:t>
      </w:r>
      <w:r w:rsidDel="00000000" w:rsidR="00000000" w:rsidRPr="00000000">
        <w:rPr>
          <w:rFonts w:ascii="Times New Roman" w:cs="Times New Roman" w:eastAsia="Times New Roman" w:hAnsi="Times New Roman"/>
          <w:i w:val="1"/>
          <w:color w:val="000000"/>
          <w:sz w:val="24"/>
          <w:szCs w:val="24"/>
          <w:rtl w:val="0"/>
        </w:rPr>
        <w:t xml:space="preserve"> dated 27/05/2008 and numbered 2688</w:t>
      </w: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Surname:                   </w:t>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Date:</w:t>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91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8257F"/>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Z9D2J+s5Bm56FZqfIqyHtSQlA==">AMUW2mXdbod0p2Usq9IgLz7GI+XQCcP3LzQq7kaKchCbwCd/vk6ypchNFMOm339vVp9mTP9Q1n/G/DMvWOj/gFzlgkgSdWUo09X9uereJ24XdeUOoex2XcU=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2022-03-01T16:44:00Z</dcterms:created>
  <dc:creator>ayşenur keleş</dc:creator>
</cp:coreProperties>
</file>