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C8C" w:rsidRDefault="00120C8C">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b/>
          <w:color w:val="000000"/>
          <w:sz w:val="24"/>
          <w:szCs w:val="24"/>
        </w:rPr>
      </w:pPr>
    </w:p>
    <w:p w:rsidR="00120C8C" w:rsidRDefault="00B62310">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FIRST PART</w:t>
      </w:r>
    </w:p>
    <w:p w:rsidR="00120C8C" w:rsidRDefault="00120C8C">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b/>
          <w:color w:val="000000"/>
          <w:sz w:val="24"/>
          <w:szCs w:val="24"/>
        </w:rPr>
      </w:pPr>
    </w:p>
    <w:p w:rsidR="00120C8C" w:rsidRDefault="00B62310">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PURPOSE, SCOPE, BASIS </w:t>
      </w:r>
      <w:r>
        <w:rPr>
          <w:rFonts w:ascii="Times New Roman" w:eastAsia="Times New Roman" w:hAnsi="Times New Roman" w:cs="Times New Roman"/>
          <w:sz w:val="24"/>
          <w:szCs w:val="24"/>
        </w:rPr>
        <w:t xml:space="preserve">AND </w:t>
      </w:r>
      <w:r>
        <w:rPr>
          <w:rFonts w:ascii="Times New Roman" w:eastAsia="Times New Roman" w:hAnsi="Times New Roman" w:cs="Times New Roman"/>
          <w:color w:val="000000"/>
          <w:sz w:val="24"/>
          <w:szCs w:val="24"/>
        </w:rPr>
        <w:t>DEFINITIONS</w:t>
      </w:r>
    </w:p>
    <w:p w:rsidR="00120C8C" w:rsidRDefault="00120C8C">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sz w:val="24"/>
          <w:szCs w:val="24"/>
        </w:rPr>
      </w:pPr>
    </w:p>
    <w:p w:rsidR="00120C8C" w:rsidRDefault="00B62310">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1. </w:t>
      </w:r>
      <w:r w:rsidR="00001DD9">
        <w:rPr>
          <w:rFonts w:ascii="Times New Roman" w:eastAsia="Times New Roman" w:hAnsi="Times New Roman" w:cs="Times New Roman"/>
          <w:b/>
          <w:sz w:val="24"/>
          <w:szCs w:val="24"/>
        </w:rPr>
        <w:t>PURPOSE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purpose of this directive is to determine the structure, duties, authorities, responsibilities and working principles of Yeditepe University Faculty of Health Sciences Nursing Department Laboratory and Clinical Practice Commission </w:t>
      </w:r>
      <w:r>
        <w:rPr>
          <w:rFonts w:ascii="Times New Roman" w:eastAsia="Times New Roman" w:hAnsi="Times New Roman" w:cs="Times New Roman"/>
          <w:b/>
          <w:sz w:val="24"/>
          <w:szCs w:val="24"/>
        </w:rPr>
        <w:t>.</w:t>
      </w:r>
    </w:p>
    <w:p w:rsidR="00120C8C" w:rsidRDefault="00B62310">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2. SCOPE: </w:t>
      </w:r>
      <w:r>
        <w:rPr>
          <w:rFonts w:ascii="Times New Roman" w:eastAsia="Times New Roman" w:hAnsi="Times New Roman" w:cs="Times New Roman"/>
          <w:sz w:val="24"/>
          <w:szCs w:val="24"/>
        </w:rPr>
        <w:t>This directive covers the procedures and principles regarding the preparation of suggestions regarding the issues to be discussed in the field of clinical practice/internship received from other commissions of Yeditepe University Faculty of Health Sciences Nursing Department, planning and execution of necessary remedial activities, and ensuring the regular and effective functioning of the commission. .</w:t>
      </w:r>
    </w:p>
    <w:p w:rsidR="00120C8C" w:rsidRDefault="00B62310">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3. BASIS: </w:t>
      </w:r>
      <w:r>
        <w:rPr>
          <w:rFonts w:ascii="Times New Roman" w:eastAsia="Times New Roman" w:hAnsi="Times New Roman" w:cs="Times New Roman"/>
          <w:sz w:val="24"/>
          <w:szCs w:val="24"/>
        </w:rPr>
        <w:t>The working principles of the commission have been determined in line with the guidelines and regulations listed below:</w:t>
      </w:r>
    </w:p>
    <w:p w:rsidR="00120C8C" w:rsidRDefault="00B62310">
      <w:pPr>
        <w:numPr>
          <w:ilvl w:val="0"/>
          <w:numId w:val="1"/>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Yeditepe University Associate and Undergraduate Education Regulations and related legislation,</w:t>
      </w:r>
    </w:p>
    <w:p w:rsidR="00120C8C" w:rsidRDefault="00B62310">
      <w:pPr>
        <w:numPr>
          <w:ilvl w:val="0"/>
          <w:numId w:val="1"/>
        </w:numPr>
        <w:pBdr>
          <w:top w:val="nil"/>
          <w:left w:val="nil"/>
          <w:bottom w:val="nil"/>
          <w:right w:val="nil"/>
          <w:between w:val="nil"/>
        </w:pBdr>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Internship Protocol with the Provincial Health Directorate Nursing Law No. 6283,</w:t>
      </w:r>
    </w:p>
    <w:p w:rsidR="00120C8C" w:rsidRDefault="00B62310">
      <w:pPr>
        <w:numPr>
          <w:ilvl w:val="0"/>
          <w:numId w:val="1"/>
        </w:numPr>
        <w:pBdr>
          <w:top w:val="nil"/>
          <w:left w:val="nil"/>
          <w:bottom w:val="nil"/>
          <w:right w:val="nil"/>
          <w:between w:val="nil"/>
        </w:pBdr>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Nursing Regulation published in the Official Gazette No. 27515,</w:t>
      </w:r>
    </w:p>
    <w:p w:rsidR="00120C8C" w:rsidRDefault="00B62310">
      <w:pPr>
        <w:numPr>
          <w:ilvl w:val="0"/>
          <w:numId w:val="1"/>
        </w:numPr>
        <w:pBdr>
          <w:top w:val="nil"/>
          <w:left w:val="nil"/>
          <w:bottom w:val="nil"/>
          <w:right w:val="nil"/>
          <w:between w:val="nil"/>
        </w:pBdr>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 Regulation on the Amendment of Nursing Regulation” published in the Official Gazette No. 27910, “Regulation on the Determination of the Minimum Education Conditions for Doctorate, Nursing, Midwifery, Dentistry, Veterinary, Pharmacy and Architecture Education Programs” published in the Official Gazette No. 26775,</w:t>
      </w:r>
    </w:p>
    <w:p w:rsidR="00120C8C" w:rsidRDefault="00B62310">
      <w:pPr>
        <w:numPr>
          <w:ilvl w:val="0"/>
          <w:numId w:val="1"/>
        </w:numPr>
        <w:pBdr>
          <w:top w:val="nil"/>
          <w:left w:val="nil"/>
          <w:bottom w:val="nil"/>
          <w:right w:val="nil"/>
          <w:between w:val="nil"/>
        </w:pBdr>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CoHE Nursing National Core Education Program (HUÇEP),</w:t>
      </w:r>
    </w:p>
    <w:p w:rsidR="00120C8C" w:rsidRDefault="00B62310">
      <w:pPr>
        <w:numPr>
          <w:ilvl w:val="0"/>
          <w:numId w:val="1"/>
        </w:numPr>
        <w:pBdr>
          <w:top w:val="nil"/>
          <w:left w:val="nil"/>
          <w:bottom w:val="nil"/>
          <w:right w:val="nil"/>
          <w:between w:val="nil"/>
        </w:pBdr>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Nursing Education Programs Evaluation and Accreditation Board (HEPDAK),</w:t>
      </w:r>
    </w:p>
    <w:p w:rsidR="00120C8C" w:rsidRDefault="00B62310">
      <w:pPr>
        <w:numPr>
          <w:ilvl w:val="0"/>
          <w:numId w:val="1"/>
        </w:numPr>
        <w:pBdr>
          <w:top w:val="nil"/>
          <w:left w:val="nil"/>
          <w:bottom w:val="nil"/>
          <w:right w:val="nil"/>
          <w:between w:val="nil"/>
        </w:pBdr>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Framework Regulation on Applied Education in Higher Education published in the Official Gazette dated 17/6/2021 and numbered 31514,</w:t>
      </w:r>
    </w:p>
    <w:p w:rsidR="00120C8C" w:rsidRPr="00001DD9" w:rsidRDefault="00B62310" w:rsidP="00001DD9">
      <w:pPr>
        <w:numPr>
          <w:ilvl w:val="0"/>
          <w:numId w:val="1"/>
        </w:numPr>
        <w:pBdr>
          <w:top w:val="nil"/>
          <w:left w:val="nil"/>
          <w:bottom w:val="nil"/>
          <w:right w:val="nil"/>
          <w:between w:val="nil"/>
        </w:pBdr>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Procedures and Principles Regarding Distance Education in Higher Education Institutions, which were decided at the meeting dated 24/09/2020</w:t>
      </w:r>
    </w:p>
    <w:p w:rsidR="00120C8C" w:rsidRDefault="00B62310">
      <w:pPr>
        <w:spacing w:after="0"/>
        <w:ind w:firstLine="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Article 4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DEFINITIONS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 this directive;</w:t>
      </w:r>
    </w:p>
    <w:p w:rsidR="00120C8C" w:rsidRDefault="00B62310">
      <w:pPr>
        <w:ind w:firstLine="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4.1. </w:t>
      </w:r>
      <w:r>
        <w:rPr>
          <w:rFonts w:ascii="Times New Roman" w:eastAsia="Times New Roman" w:hAnsi="Times New Roman" w:cs="Times New Roman"/>
          <w:b/>
          <w:color w:val="000000"/>
          <w:sz w:val="24"/>
          <w:szCs w:val="24"/>
        </w:rPr>
        <w:t xml:space="preserve">Laboratory Practice: </w:t>
      </w:r>
      <w:r>
        <w:rPr>
          <w:rFonts w:ascii="Times New Roman" w:eastAsia="Times New Roman" w:hAnsi="Times New Roman" w:cs="Times New Roman"/>
          <w:sz w:val="24"/>
          <w:szCs w:val="24"/>
        </w:rPr>
        <w:t>Applications of the professional skills taught in the semester classes with models and models made by the students,</w:t>
      </w:r>
    </w:p>
    <w:p w:rsidR="00120C8C" w:rsidRDefault="00B62310">
      <w:pPr>
        <w:ind w:firstLine="0"/>
        <w:rPr>
          <w:rFonts w:ascii="Times New Roman" w:eastAsia="Times New Roman" w:hAnsi="Times New Roman" w:cs="Times New Roman"/>
          <w:color w:val="000000"/>
          <w:sz w:val="24"/>
          <w:szCs w:val="24"/>
          <w:u w:val="single"/>
        </w:rPr>
      </w:pPr>
      <w:r>
        <w:rPr>
          <w:rFonts w:ascii="Times New Roman" w:eastAsia="Times New Roman" w:hAnsi="Times New Roman" w:cs="Times New Roman"/>
          <w:b/>
          <w:sz w:val="24"/>
          <w:szCs w:val="24"/>
        </w:rPr>
        <w:t xml:space="preserve">4.2. </w:t>
      </w:r>
      <w:r>
        <w:rPr>
          <w:rFonts w:ascii="Times New Roman" w:eastAsia="Times New Roman" w:hAnsi="Times New Roman" w:cs="Times New Roman"/>
          <w:b/>
          <w:color w:val="000000"/>
          <w:sz w:val="24"/>
          <w:szCs w:val="24"/>
        </w:rPr>
        <w:t xml:space="preserve">Clinical Practice/internship: </w:t>
      </w:r>
      <w:r>
        <w:rPr>
          <w:rFonts w:ascii="Times New Roman" w:eastAsia="Times New Roman" w:hAnsi="Times New Roman" w:cs="Times New Roman"/>
          <w:color w:val="000000"/>
          <w:sz w:val="24"/>
          <w:szCs w:val="24"/>
        </w:rPr>
        <w:t>Professional study conducted as the application of courses related to nursing departments in institutions specified as external stakeholders in article 5-e, for the transformation of professional knowledge into skills, attitudes and behaviors,</w:t>
      </w:r>
    </w:p>
    <w:p w:rsidR="00120C8C" w:rsidRDefault="00B62310">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4.3. </w:t>
      </w:r>
      <w:r>
        <w:rPr>
          <w:rFonts w:ascii="Times New Roman" w:eastAsia="Times New Roman" w:hAnsi="Times New Roman" w:cs="Times New Roman"/>
          <w:b/>
          <w:color w:val="000000"/>
          <w:sz w:val="24"/>
          <w:szCs w:val="24"/>
        </w:rPr>
        <w:t xml:space="preserve">Summer clinical practice/internship: </w:t>
      </w:r>
      <w:r>
        <w:rPr>
          <w:rFonts w:ascii="Times New Roman" w:eastAsia="Times New Roman" w:hAnsi="Times New Roman" w:cs="Times New Roman"/>
          <w:color w:val="000000"/>
          <w:sz w:val="24"/>
          <w:szCs w:val="24"/>
        </w:rPr>
        <w:t>Providing care and treatment in at least one of the fields of Surgical Diseases, Internal Medicine, Gynecology and Obstetrics and Child Health and Diseases Nursing, having a bed capacity of at least 100 or more, having the status of a training or general hospital and preferably accredited The application made in 21 consecutive working days in the summer term within the scope of NHS 405 Summer Internship course in health institutions,</w:t>
      </w:r>
    </w:p>
    <w:p w:rsidR="00120C8C" w:rsidRDefault="00B62310">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4.4. Internship Practice: </w:t>
      </w:r>
      <w:r>
        <w:rPr>
          <w:rFonts w:ascii="Times New Roman" w:eastAsia="Times New Roman" w:hAnsi="Times New Roman" w:cs="Times New Roman"/>
          <w:sz w:val="24"/>
          <w:szCs w:val="24"/>
        </w:rPr>
        <w:t>The practice determined by the department within the scope of the NHS 402 Clinical Study course of the student who has completed his professional courses in the Department of Nursing, in institutions affiliated to the Provincial Health Directorate or in private hospitals, 3 working days a week and for a total of 14/15 weeks in line with the academic calendar,</w:t>
      </w:r>
    </w:p>
    <w:p w:rsidR="00120C8C" w:rsidRDefault="00B62310">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4.5. External stakeholder </w:t>
      </w:r>
      <w:r>
        <w:rPr>
          <w:rFonts w:ascii="Times New Roman" w:eastAsia="Times New Roman" w:hAnsi="Times New Roman" w:cs="Times New Roman"/>
          <w:sz w:val="24"/>
          <w:szCs w:val="24"/>
        </w:rPr>
        <w:t>: Nurses, managers, employers and/or Yeditepe University employees working in health care institutions affiliated to the Provincial Health Directorate, private hospitals, nursing homes, elderly and home care centers, foundations/associations, education and private education institutions, factories and workplaces. Graduates of the Department of Nursing,</w:t>
      </w:r>
    </w:p>
    <w:p w:rsidR="00120C8C" w:rsidRDefault="00B62310">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4.6. Instructor: </w:t>
      </w:r>
      <w:r>
        <w:rPr>
          <w:rFonts w:ascii="Times New Roman" w:eastAsia="Times New Roman" w:hAnsi="Times New Roman" w:cs="Times New Roman"/>
          <w:sz w:val="24"/>
          <w:szCs w:val="24"/>
        </w:rPr>
        <w:t>The instructor responsible for the conduct of the course in the weekly course schedule suitable for the academic terms,</w:t>
      </w:r>
    </w:p>
    <w:p w:rsidR="00120C8C" w:rsidRDefault="00B62310">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4.7. Clinical Instructor: </w:t>
      </w:r>
      <w:r>
        <w:rPr>
          <w:rFonts w:ascii="Times New Roman" w:eastAsia="Times New Roman" w:hAnsi="Times New Roman" w:cs="Times New Roman"/>
          <w:color w:val="000000"/>
          <w:sz w:val="24"/>
          <w:szCs w:val="24"/>
        </w:rPr>
        <w:t>Working one-on-one with the student nurse in the application areas determined in coordination with the responsible lecturer / staff of the course,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course lecturer, research assistant responsible for the implementation, execution and evaluation of clinical practice goals.</w:t>
      </w:r>
    </w:p>
    <w:p w:rsidR="00120C8C" w:rsidRDefault="00B62310">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4.8. Clinical Guide Nurse: </w:t>
      </w:r>
      <w:r>
        <w:rPr>
          <w:rFonts w:ascii="Times New Roman" w:eastAsia="Times New Roman" w:hAnsi="Times New Roman" w:cs="Times New Roman"/>
          <w:sz w:val="24"/>
          <w:szCs w:val="24"/>
        </w:rPr>
        <w:t>It refers to the clinical training nurse or nurse in charge who works in the field of clinical practice, facilitates the learning of the student, supports his professional development, evaluates the student, and successfully completes the Clinical Guide Nurse Education program.</w:t>
      </w:r>
    </w:p>
    <w:p w:rsidR="00120C8C" w:rsidRDefault="00120C8C">
      <w:pPr>
        <w:ind w:firstLine="0"/>
        <w:rPr>
          <w:rFonts w:ascii="Times New Roman" w:eastAsia="Times New Roman" w:hAnsi="Times New Roman" w:cs="Times New Roman"/>
          <w:sz w:val="24"/>
          <w:szCs w:val="24"/>
        </w:rPr>
      </w:pPr>
    </w:p>
    <w:p w:rsidR="00120C8C" w:rsidRDefault="00B62310">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 PART</w:t>
      </w:r>
    </w:p>
    <w:p w:rsidR="00120C8C" w:rsidRDefault="00B62310">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STRUCTURE, WORKING PRINCIPLES AND DUTIES OF THE COMMISSION</w:t>
      </w:r>
    </w:p>
    <w:p w:rsidR="00120C8C" w:rsidRDefault="00B62310">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STRUCTURE OF THE COMMISSION</w:t>
      </w:r>
    </w:p>
    <w:p w:rsidR="00120C8C" w:rsidRDefault="00B62310">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5: </w:t>
      </w:r>
      <w:r>
        <w:rPr>
          <w:rFonts w:ascii="Times New Roman" w:eastAsia="Times New Roman" w:hAnsi="Times New Roman" w:cs="Times New Roman"/>
          <w:sz w:val="24"/>
          <w:szCs w:val="24"/>
        </w:rPr>
        <w:t>The structure of the commission is specified in this article.</w:t>
      </w:r>
    </w:p>
    <w:p w:rsidR="00120C8C" w:rsidRDefault="00B62310">
      <w:pPr>
        <w:pBdr>
          <w:top w:val="nil"/>
          <w:left w:val="nil"/>
          <w:bottom w:val="nil"/>
          <w:right w:val="nil"/>
          <w:between w:val="nil"/>
        </w:pBdr>
        <w:tabs>
          <w:tab w:val="left" w:pos="1418"/>
        </w:tabs>
        <w:spacing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5.1.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Laboratory and Clinical Practice Commission; It consists of at least 3 (three) persons, including the chairman of the commission, the vice chairman, the secretary and other members.</w:t>
      </w:r>
    </w:p>
    <w:p w:rsidR="00120C8C" w:rsidRDefault="00B62310">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5.2.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 Chairman of the Commission is elected by the members. The term of office of the Chairman of the Commission is 3 (three) years.</w:t>
      </w:r>
    </w:p>
    <w:p w:rsidR="00120C8C" w:rsidRDefault="00B62310">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5.2.1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The President ensures the functioning of the commission, the formulation and execution of the agenda.</w:t>
      </w:r>
    </w:p>
    <w:p w:rsidR="00120C8C" w:rsidRDefault="00B62310">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5.2.2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The vice-president ensures that the agenda is run by the vice president in the absence of the president.</w:t>
      </w:r>
    </w:p>
    <w:p w:rsidR="00120C8C" w:rsidRDefault="00B62310">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5.2.3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The secretaries ensure that the necessary records are taken.</w:t>
      </w:r>
    </w:p>
    <w:p w:rsidR="00120C8C" w:rsidRDefault="00B62310">
      <w:pPr>
        <w:pBdr>
          <w:top w:val="nil"/>
          <w:left w:val="nil"/>
          <w:bottom w:val="nil"/>
          <w:right w:val="nil"/>
          <w:between w:val="nil"/>
        </w:pBdr>
        <w:spacing w:before="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5.3.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The Laboratory and Clinical Practice Commission meets at least 2 (two) times a year with the majority of members and reports the decisions taken. In extraordinary situations, the Commission </w:t>
      </w:r>
      <w:r>
        <w:rPr>
          <w:rFonts w:ascii="Times New Roman" w:eastAsia="Times New Roman" w:hAnsi="Times New Roman" w:cs="Times New Roman"/>
          <w:sz w:val="24"/>
          <w:szCs w:val="24"/>
        </w:rPr>
        <w:t xml:space="preserve">may convene upon the call of the chairman </w:t>
      </w:r>
      <w:r>
        <w:rPr>
          <w:rFonts w:ascii="Times New Roman" w:eastAsia="Times New Roman" w:hAnsi="Times New Roman" w:cs="Times New Roman"/>
          <w:color w:val="000000"/>
          <w:sz w:val="24"/>
          <w:szCs w:val="24"/>
        </w:rPr>
        <w:t xml:space="preserve">and, when necessary, ensure the participation of the relevant faculty members of the nursing departments. </w:t>
      </w:r>
      <w:r>
        <w:rPr>
          <w:rFonts w:ascii="Times New Roman" w:eastAsia="Times New Roman" w:hAnsi="Times New Roman" w:cs="Times New Roman"/>
          <w:sz w:val="24"/>
          <w:szCs w:val="24"/>
        </w:rPr>
        <w:t>The commission takes decisions by unanimous or majority vote of the members attending the meeting.</w:t>
      </w:r>
    </w:p>
    <w:p w:rsidR="00120C8C" w:rsidRDefault="00B62310">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WORKING PRINCIPLES</w:t>
      </w:r>
    </w:p>
    <w:p w:rsidR="00120C8C" w:rsidRDefault="00B62310">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6: </w:t>
      </w:r>
      <w:r>
        <w:rPr>
          <w:rFonts w:ascii="Times New Roman" w:eastAsia="Times New Roman" w:hAnsi="Times New Roman" w:cs="Times New Roman"/>
          <w:sz w:val="24"/>
          <w:szCs w:val="24"/>
        </w:rPr>
        <w:t>In this article, the working principles of the Laboratory and Clinical Practice Commission are specified.</w:t>
      </w:r>
    </w:p>
    <w:p w:rsidR="00120C8C" w:rsidRDefault="00B62310">
      <w:pPr>
        <w:pBdr>
          <w:top w:val="nil"/>
          <w:left w:val="nil"/>
          <w:bottom w:val="nil"/>
          <w:right w:val="nil"/>
          <w:between w:val="nil"/>
        </w:pBdr>
        <w:tabs>
          <w:tab w:val="left" w:pos="709"/>
        </w:tabs>
        <w:spacing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6.1.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The Laboratory and Clinical Application Commission functions as the planning, execution and regulation body of laboratory and clinical applications in coordination with the relevant </w:t>
      </w:r>
      <w:r>
        <w:rPr>
          <w:rFonts w:ascii="Times New Roman" w:eastAsia="Times New Roman" w:hAnsi="Times New Roman" w:cs="Times New Roman"/>
          <w:color w:val="000000"/>
          <w:sz w:val="24"/>
          <w:szCs w:val="24"/>
        </w:rPr>
        <w:lastRenderedPageBreak/>
        <w:t>faculty members of the Nursing Departments at Yeditepe University Faculty of Health Sciences, Department of Nursing.</w:t>
      </w:r>
    </w:p>
    <w:p w:rsidR="00120C8C" w:rsidRDefault="00B62310">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6.2.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 Commission aims to transfer the knowledge gained during the education and training process to laboratory and clinical practice in a qualified manner by preserving the program principles and principles.</w:t>
      </w:r>
    </w:p>
    <w:p w:rsidR="00120C8C" w:rsidRDefault="00B62310" w:rsidP="00001DD9">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6.3.</w:t>
      </w:r>
      <w:r>
        <w:rPr>
          <w:rFonts w:ascii="Times New Roman" w:eastAsia="Times New Roman" w:hAnsi="Times New Roman" w:cs="Times New Roman"/>
          <w:sz w:val="24"/>
          <w:szCs w:val="24"/>
        </w:rPr>
        <w:t xml:space="preserve"> It examines and evaluates the issues coming from academic units, all boards, commissions and related minutes, makes improvements and </w:t>
      </w:r>
      <w:r>
        <w:rPr>
          <w:rFonts w:ascii="Times New Roman" w:eastAsia="Times New Roman" w:hAnsi="Times New Roman" w:cs="Times New Roman"/>
          <w:color w:val="000000"/>
          <w:sz w:val="24"/>
          <w:szCs w:val="24"/>
        </w:rPr>
        <w:t>reports the decisions taken to the higher board</w:t>
      </w:r>
      <w:r w:rsidR="00001DD9">
        <w:rPr>
          <w:rFonts w:ascii="Times New Roman" w:eastAsia="Times New Roman" w:hAnsi="Times New Roman" w:cs="Times New Roman"/>
          <w:color w:val="000000"/>
          <w:sz w:val="24"/>
          <w:szCs w:val="24"/>
        </w:rPr>
        <w:t xml:space="preserve"> and commissions when necessary</w:t>
      </w:r>
      <w:r>
        <w:rPr>
          <w:rFonts w:ascii="Times New Roman" w:eastAsia="Times New Roman" w:hAnsi="Times New Roman" w:cs="Times New Roman"/>
          <w:color w:val="000000"/>
          <w:sz w:val="24"/>
          <w:szCs w:val="24"/>
        </w:rPr>
        <w:t>. It also applies to the Accreditation Board for the evaluation of the issues that it cannot resolve on its own.</w:t>
      </w:r>
    </w:p>
    <w:p w:rsidR="00120C8C" w:rsidRDefault="00B62310">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DUTIES OF THE COMMISSION</w:t>
      </w:r>
    </w:p>
    <w:p w:rsidR="00120C8C" w:rsidRDefault="00B62310">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7: </w:t>
      </w:r>
      <w:r>
        <w:rPr>
          <w:rFonts w:ascii="Times New Roman" w:eastAsia="Times New Roman" w:hAnsi="Times New Roman" w:cs="Times New Roman"/>
          <w:sz w:val="24"/>
          <w:szCs w:val="24"/>
        </w:rPr>
        <w:t>In this article, the duties of the Laboratory and Clinical Practice Commission are specified.</w:t>
      </w:r>
    </w:p>
    <w:p w:rsidR="00120C8C" w:rsidRDefault="00B62310">
      <w:pPr>
        <w:pBdr>
          <w:top w:val="nil"/>
          <w:left w:val="nil"/>
          <w:bottom w:val="nil"/>
          <w:right w:val="nil"/>
          <w:between w:val="nil"/>
        </w:pBdr>
        <w:spacing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7.1.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 Laboratory and Clinical Practice Commission is responsible for the planning, arrangement and execution of clinical practice processes and procedures in coordination with the relevant lecturers of the Nursing Departments in line with the principles of Yeditepe University Faculty of Health Sciences Nursing Department. In addition, the commission works as an upper committee where students participating in clinical practice/internship will consult about the issues they experience.</w:t>
      </w:r>
    </w:p>
    <w:p w:rsidR="00120C8C" w:rsidRDefault="00B62310">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7.2.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 commission determines the clinical practice dates in each academic year in accordance with the academic calendar determined by the university.</w:t>
      </w:r>
    </w:p>
    <w:p w:rsidR="00120C8C" w:rsidRDefault="00B62310">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7.3.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It determines the students who will start clinical practice in the relevant academic year. According to the determined number of students, the Provincial Health Directorate makes necessary clinical practice/internship plans in consultation with private health institutions and relevant external stakeholders.</w:t>
      </w:r>
    </w:p>
    <w:p w:rsidR="00120C8C" w:rsidRDefault="00B62310">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7.4.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Since the summer term clinical practice/internships can be held outside of Istanbul, the student evaluates with the responsible lecturer whether the areas determined by the students are suitable for the purposes of the curriculum.</w:t>
      </w:r>
    </w:p>
    <w:p w:rsidR="00120C8C" w:rsidRDefault="00B62310">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7.5.</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It determines the institutions where the students will do clinical practice/internship in coordination with the lecturer of the course, initiates and maintains the relevant correspondence.</w:t>
      </w:r>
    </w:p>
    <w:p w:rsidR="00120C8C" w:rsidRDefault="00B62310">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 xml:space="preserve">7.6. </w:t>
      </w:r>
      <w:r>
        <w:rPr>
          <w:rFonts w:ascii="Times New Roman" w:eastAsia="Times New Roman" w:hAnsi="Times New Roman" w:cs="Times New Roman"/>
          <w:color w:val="000000"/>
          <w:sz w:val="24"/>
          <w:szCs w:val="24"/>
        </w:rPr>
        <w:t>placement and rotation of students in appropriate clinics; The course is carried out in cooperation with the teaching staff, training nurses and clinical guide nurses.</w:t>
      </w:r>
    </w:p>
    <w:p w:rsidR="00120C8C" w:rsidRDefault="00B62310">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7.7.</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 Social Security Institution (SGK) admissions of students who will do clinical practice/internship are handled by Yeditepe University Human Resources unit. It announces and collects the necessary documents related to the Occupational Health and Occupational Diseases Insurance process and follows the whole process.</w:t>
      </w:r>
    </w:p>
    <w:p w:rsidR="00120C8C" w:rsidRDefault="00B62310">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7.8.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In case of injuries that occur during laboratory and clinical applications, it directs the student to the relevant units, ensures the follow-up of the process in cooperation with the Occupational Health and Safety Unit, and reports the injury statistics to the Improvement and Development Commission at specified intervals.</w:t>
      </w:r>
    </w:p>
    <w:p w:rsidR="00120C8C" w:rsidRDefault="00B62310">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7.9.</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Commission; Prepares and revises 'Clinical Practice/Internship Attendance Form', 'Application Evaluation Form', 'Healthcare User Satisfaction Questionnaire', 'Laboratory Environment Student Feedback Form' and 'Clinical Education Environment Student Feedback Form'.</w:t>
      </w:r>
    </w:p>
    <w:p w:rsidR="00120C8C" w:rsidRDefault="00B62310">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7.10.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Ensures that the 'Healthcare User Satisfaction Questionnaire' is filled during the clinical practice/internship process of the relevant course, and submits the data to the Student and Alumni Committee for reporting.</w:t>
      </w:r>
    </w:p>
    <w:p w:rsidR="00120C8C" w:rsidRDefault="00B62310">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7.11.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Provides filling in 'Laboratory Environment Student Feedback Form' and 'Clinical Education Environment Student Feedback Form', evaluates the data obtained, and reports it to the Improvement and Development Commission at the end of each academic year.</w:t>
      </w:r>
    </w:p>
    <w:p w:rsidR="00120C8C" w:rsidRDefault="00B62310">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7.12.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It determines the clinical guide nurses to be assigned by the institutions where clinical practice/internship will be made, plans and implements the Clinical Guide Nurse Training program at regular intervals.</w:t>
      </w:r>
    </w:p>
    <w:p w:rsidR="00120C8C" w:rsidRDefault="00B62310">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7.13.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Information about Double Major and Minor, Vertical-Horizontal Transfer students and students coming to clinical practice with Erasmus program are requested from the Education and Curriculum Commission in order to plan clinical practices in a timely manner and 'Double Major, Minor, Horizontal and Vertical </w:t>
      </w:r>
      <w:r>
        <w:rPr>
          <w:rFonts w:ascii="Times New Roman" w:eastAsia="Times New Roman" w:hAnsi="Times New Roman" w:cs="Times New Roman"/>
          <w:sz w:val="24"/>
          <w:szCs w:val="24"/>
        </w:rPr>
        <w:t xml:space="preserve">Transfer </w:t>
      </w:r>
      <w:r>
        <w:rPr>
          <w:rFonts w:ascii="Times New Roman" w:eastAsia="Times New Roman" w:hAnsi="Times New Roman" w:cs="Times New Roman"/>
          <w:color w:val="000000"/>
          <w:sz w:val="24"/>
          <w:szCs w:val="24"/>
        </w:rPr>
        <w:t xml:space="preserve">It is carried out in accordance with the principles specified in </w:t>
      </w:r>
      <w:r>
        <w:rPr>
          <w:rFonts w:ascii="Times New Roman" w:eastAsia="Times New Roman" w:hAnsi="Times New Roman" w:cs="Times New Roman"/>
          <w:sz w:val="24"/>
          <w:szCs w:val="24"/>
        </w:rPr>
        <w:t>the Student Exchange Programs Directive .</w:t>
      </w:r>
    </w:p>
    <w:p w:rsidR="00120C8C" w:rsidRDefault="00B62310">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7.14.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Evaluates the problems experienced by students within the scope of horizontal-vertical transfer and student exchange programs during their clinical/internship applications, and </w:t>
      </w:r>
      <w:r>
        <w:rPr>
          <w:rFonts w:ascii="Times New Roman" w:eastAsia="Times New Roman" w:hAnsi="Times New Roman" w:cs="Times New Roman"/>
          <w:sz w:val="24"/>
          <w:szCs w:val="24"/>
        </w:rPr>
        <w:t>conveys them to the Erasmus Coordinator of the International Office and Nursing Department.</w:t>
      </w:r>
    </w:p>
    <w:p w:rsidR="00120C8C" w:rsidRDefault="00B62310">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7.15.</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 commission distributes the tasks in the organization of the laboratory. Provides coordination with the laboratory supervisor to make the necessary arrangements.</w:t>
      </w:r>
    </w:p>
    <w:p w:rsidR="00120C8C" w:rsidRDefault="00B62310">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7.16.</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Laboratory usage rules are specified in the "Laboratory and Clinical Practice Guidelines" form. It ensures that the rules are available to all students before the laboratory application in each semester.</w:t>
      </w:r>
    </w:p>
    <w:p w:rsidR="00120C8C" w:rsidRDefault="00B62310">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7.17.</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 Commission consults other commissions or the Accreditation Board when needed.</w:t>
      </w:r>
    </w:p>
    <w:p w:rsidR="00120C8C" w:rsidRDefault="00B62310">
      <w:pPr>
        <w:pBdr>
          <w:top w:val="nil"/>
          <w:left w:val="nil"/>
          <w:bottom w:val="nil"/>
          <w:right w:val="nil"/>
          <w:between w:val="nil"/>
        </w:pBdr>
        <w:spacing w:before="0"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7.18.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Performs other duties assigned by the Accreditation Board.</w:t>
      </w:r>
    </w:p>
    <w:p w:rsidR="00120C8C" w:rsidRDefault="00120C8C">
      <w:pPr>
        <w:ind w:firstLine="0"/>
        <w:jc w:val="center"/>
        <w:rPr>
          <w:rFonts w:ascii="Times New Roman" w:eastAsia="Times New Roman" w:hAnsi="Times New Roman" w:cs="Times New Roman"/>
          <w:b/>
          <w:sz w:val="24"/>
          <w:szCs w:val="24"/>
        </w:rPr>
      </w:pPr>
    </w:p>
    <w:p w:rsidR="00120C8C" w:rsidRDefault="00B62310">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THIRD PART</w:t>
      </w:r>
    </w:p>
    <w:p w:rsidR="00120C8C" w:rsidRDefault="00001DD9">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STUATIONS</w:t>
      </w:r>
      <w:r w:rsidR="00B62310">
        <w:rPr>
          <w:rFonts w:ascii="Times New Roman" w:eastAsia="Times New Roman" w:hAnsi="Times New Roman" w:cs="Times New Roman"/>
          <w:sz w:val="24"/>
          <w:szCs w:val="24"/>
        </w:rPr>
        <w:t xml:space="preserve"> WITH NO PROVISION</w:t>
      </w:r>
    </w:p>
    <w:p w:rsidR="00120C8C" w:rsidRDefault="00B62310">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8: </w:t>
      </w:r>
      <w:r>
        <w:rPr>
          <w:rFonts w:ascii="Times New Roman" w:eastAsia="Times New Roman" w:hAnsi="Times New Roman" w:cs="Times New Roman"/>
          <w:sz w:val="24"/>
          <w:szCs w:val="24"/>
        </w:rPr>
        <w:t>In cases where there is no provision in the procedures and principles of this Laboratory and Clinical Practice Commission Directive, the Accreditation Board is consulted and the final decision is determined by the Accreditation Board.</w:t>
      </w:r>
    </w:p>
    <w:p w:rsidR="00120C8C" w:rsidRDefault="00120C8C">
      <w:pPr>
        <w:ind w:firstLine="0"/>
        <w:rPr>
          <w:rFonts w:ascii="Times New Roman" w:eastAsia="Times New Roman" w:hAnsi="Times New Roman" w:cs="Times New Roman"/>
          <w:sz w:val="24"/>
          <w:szCs w:val="24"/>
        </w:rPr>
      </w:pPr>
    </w:p>
    <w:p w:rsidR="00120C8C" w:rsidRDefault="00B62310">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FOUR</w:t>
      </w:r>
    </w:p>
    <w:p w:rsidR="00120C8C" w:rsidRDefault="00001DD9">
      <w:pPr>
        <w:ind w:firstLine="0"/>
        <w:jc w:val="center"/>
        <w:rPr>
          <w:rFonts w:ascii="Times New Roman" w:eastAsia="Times New Roman" w:hAnsi="Times New Roman" w:cs="Times New Roman"/>
          <w:sz w:val="24"/>
          <w:szCs w:val="24"/>
        </w:rPr>
      </w:pPr>
      <w:r w:rsidRPr="00001DD9">
        <w:rPr>
          <w:rFonts w:ascii="Times New Roman" w:eastAsia="Times New Roman" w:hAnsi="Times New Roman" w:cs="Times New Roman"/>
          <w:sz w:val="24"/>
          <w:szCs w:val="24"/>
        </w:rPr>
        <w:t xml:space="preserve">MISCELLANEOUS AND </w:t>
      </w:r>
      <w:r>
        <w:rPr>
          <w:rFonts w:ascii="Times New Roman" w:eastAsia="Times New Roman" w:hAnsi="Times New Roman" w:cs="Times New Roman"/>
          <w:sz w:val="24"/>
          <w:szCs w:val="24"/>
        </w:rPr>
        <w:t>FINAL</w:t>
      </w:r>
      <w:r w:rsidR="00B62310">
        <w:rPr>
          <w:rFonts w:ascii="Times New Roman" w:eastAsia="Times New Roman" w:hAnsi="Times New Roman" w:cs="Times New Roman"/>
          <w:sz w:val="24"/>
          <w:szCs w:val="24"/>
        </w:rPr>
        <w:t xml:space="preserve"> PROVISIONS</w:t>
      </w:r>
    </w:p>
    <w:p w:rsidR="00120C8C" w:rsidRDefault="00B62310">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9: </w:t>
      </w:r>
      <w:r>
        <w:rPr>
          <w:rFonts w:ascii="Times New Roman" w:eastAsia="Times New Roman" w:hAnsi="Times New Roman" w:cs="Times New Roman"/>
          <w:sz w:val="24"/>
          <w:szCs w:val="24"/>
        </w:rPr>
        <w:t>This Laboratory and Clinical Practice Commission Directive enters into force with the approval of the Yeditepe University Faculty of Health Sciences Dean.</w:t>
      </w:r>
    </w:p>
    <w:p w:rsidR="00120C8C" w:rsidRDefault="00B62310">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10: </w:t>
      </w:r>
      <w:r>
        <w:rPr>
          <w:rFonts w:ascii="Times New Roman" w:eastAsia="Times New Roman" w:hAnsi="Times New Roman" w:cs="Times New Roman"/>
          <w:sz w:val="24"/>
          <w:szCs w:val="24"/>
        </w:rPr>
        <w:t>Suggestions for amendments on this directive are submitted to the Accreditation Board by the Education and Curriculum Commission, and the prepared proposals are decided by the board.</w:t>
      </w:r>
    </w:p>
    <w:p w:rsidR="00120C8C" w:rsidRDefault="00B62310">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11: </w:t>
      </w:r>
      <w:r>
        <w:rPr>
          <w:rFonts w:ascii="Times New Roman" w:eastAsia="Times New Roman" w:hAnsi="Times New Roman" w:cs="Times New Roman"/>
          <w:sz w:val="24"/>
          <w:szCs w:val="24"/>
        </w:rPr>
        <w:t>This directive is executed by Yeditepe University, Head of Nursing Department.</w:t>
      </w:r>
    </w:p>
    <w:p w:rsidR="00120C8C" w:rsidRDefault="00120C8C">
      <w:pPr>
        <w:ind w:firstLine="0"/>
        <w:rPr>
          <w:rFonts w:ascii="Times New Roman" w:eastAsia="Times New Roman" w:hAnsi="Times New Roman" w:cs="Times New Roman"/>
          <w:b/>
          <w:sz w:val="24"/>
          <w:szCs w:val="24"/>
        </w:rPr>
      </w:pPr>
    </w:p>
    <w:p w:rsidR="00120C8C" w:rsidRDefault="00B62310">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Nursing Department Laboratory and Clinical Practice Commission</w:t>
      </w:r>
    </w:p>
    <w:p w:rsidR="00120C8C" w:rsidRDefault="00B62310">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prof. Dr. Senay UZUN, President</w:t>
      </w:r>
    </w:p>
    <w:p w:rsidR="00120C8C" w:rsidRDefault="00B62310">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Dr. Instructor Member Aylin AKÇA SUMENGEN, Vice President</w:t>
      </w:r>
    </w:p>
    <w:p w:rsidR="00120C8C" w:rsidRDefault="00B62310">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 See. Ayşenur KELES, Secretary</w:t>
      </w:r>
    </w:p>
    <w:p w:rsidR="00120C8C" w:rsidRDefault="00B62310">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Dr. Instructor Member İnci KIRTIL, Member</w:t>
      </w:r>
    </w:p>
    <w:p w:rsidR="00120C8C" w:rsidRDefault="00B62310">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Res. See. Ceren ZEREN, Member</w:t>
      </w:r>
    </w:p>
    <w:p w:rsidR="00120C8C" w:rsidRDefault="00B62310">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Res. See. Şerife KELLE DİKBAŞ, Member</w:t>
      </w:r>
    </w:p>
    <w:p w:rsidR="00120C8C" w:rsidRDefault="00B62310">
      <w:pPr>
        <w:spacing w:before="0" w:after="16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Student Merve Karatekin, Member</w:t>
      </w:r>
    </w:p>
    <w:p w:rsidR="00120C8C" w:rsidRDefault="00B62310">
      <w:pPr>
        <w:spacing w:before="0" w:after="16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Student Gamze Gülbahar Cömez, Member</w:t>
      </w:r>
    </w:p>
    <w:p w:rsidR="00120C8C" w:rsidRDefault="00B62310">
      <w:pPr>
        <w:spacing w:before="0" w:after="16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Student Nursu Balıkçı, Member</w:t>
      </w:r>
    </w:p>
    <w:sectPr w:rsidR="00120C8C" w:rsidSect="00120C8C">
      <w:headerReference w:type="default" r:id="rId8"/>
      <w:pgSz w:w="11906" w:h="16838"/>
      <w:pgMar w:top="1134" w:right="1418" w:bottom="1418" w:left="1133" w:header="397" w:footer="737"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DAF" w:rsidRDefault="001B6DAF" w:rsidP="00120C8C">
      <w:pPr>
        <w:spacing w:before="0" w:after="0" w:line="240" w:lineRule="auto"/>
      </w:pPr>
      <w:r>
        <w:separator/>
      </w:r>
    </w:p>
  </w:endnote>
  <w:endnote w:type="continuationSeparator" w:id="1">
    <w:p w:rsidR="001B6DAF" w:rsidRDefault="001B6DAF" w:rsidP="00120C8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DAF" w:rsidRDefault="001B6DAF" w:rsidP="00120C8C">
      <w:pPr>
        <w:spacing w:before="0" w:after="0" w:line="240" w:lineRule="auto"/>
      </w:pPr>
      <w:r>
        <w:separator/>
      </w:r>
    </w:p>
  </w:footnote>
  <w:footnote w:type="continuationSeparator" w:id="1">
    <w:p w:rsidR="001B6DAF" w:rsidRDefault="001B6DAF" w:rsidP="00120C8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8C" w:rsidRDefault="00120C8C">
    <w:pPr>
      <w:widowControl w:val="0"/>
      <w:pBdr>
        <w:top w:val="nil"/>
        <w:left w:val="nil"/>
        <w:bottom w:val="nil"/>
        <w:right w:val="nil"/>
        <w:between w:val="nil"/>
      </w:pBdr>
      <w:spacing w:before="0" w:after="0" w:line="276" w:lineRule="auto"/>
      <w:ind w:firstLine="0"/>
      <w:jc w:val="left"/>
      <w:rPr>
        <w:rFonts w:ascii="Times New Roman" w:eastAsia="Times New Roman" w:hAnsi="Times New Roman" w:cs="Times New Roman"/>
        <w:sz w:val="18"/>
        <w:szCs w:val="18"/>
      </w:rPr>
    </w:pPr>
  </w:p>
  <w:tbl>
    <w:tblPr>
      <w:tblStyle w:val="a1"/>
      <w:tblW w:w="11407" w:type="dxa"/>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5245"/>
      <w:gridCol w:w="1701"/>
      <w:gridCol w:w="2476"/>
    </w:tblGrid>
    <w:tr w:rsidR="00120C8C">
      <w:trPr>
        <w:cantSplit/>
        <w:trHeight w:val="273"/>
        <w:tblHeader/>
      </w:trPr>
      <w:tc>
        <w:tcPr>
          <w:tcW w:w="1985" w:type="dxa"/>
          <w:vMerge w:val="restart"/>
          <w:vAlign w:val="center"/>
        </w:tcPr>
        <w:p w:rsidR="00120C8C" w:rsidRDefault="00120C8C">
          <w:pPr>
            <w:spacing w:before="0" w:after="0" w:line="240" w:lineRule="auto"/>
            <w:ind w:right="360" w:firstLine="0"/>
            <w:jc w:val="left"/>
            <w:rPr>
              <w:rFonts w:ascii="Tahoma" w:eastAsia="Tahoma" w:hAnsi="Tahoma" w:cs="Tahoma"/>
              <w:b/>
            </w:rPr>
          </w:pPr>
        </w:p>
        <w:p w:rsidR="00120C8C" w:rsidRDefault="00B62310">
          <w:pPr>
            <w:spacing w:before="0" w:after="0" w:line="240" w:lineRule="auto"/>
            <w:ind w:firstLine="0"/>
            <w:jc w:val="left"/>
            <w:rPr>
              <w:rFonts w:ascii="Tahoma" w:eastAsia="Tahoma" w:hAnsi="Tahoma" w:cs="Tahoma"/>
              <w:b/>
            </w:rPr>
          </w:pPr>
          <w:r>
            <w:rPr>
              <w:rFonts w:ascii="Tahoma" w:eastAsia="Tahoma" w:hAnsi="Tahoma" w:cs="Tahoma"/>
              <w:b/>
              <w:noProof/>
              <w:lang w:val="tr-TR"/>
            </w:rPr>
            <w:drawing>
              <wp:inline distT="0" distB="0" distL="0" distR="0">
                <wp:extent cx="1173480" cy="62103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73480" cy="621030"/>
                        </a:xfrm>
                        <a:prstGeom prst="rect">
                          <a:avLst/>
                        </a:prstGeom>
                        <a:ln/>
                      </pic:spPr>
                    </pic:pic>
                  </a:graphicData>
                </a:graphic>
              </wp:inline>
            </w:drawing>
          </w:r>
        </w:p>
        <w:p w:rsidR="00120C8C" w:rsidRDefault="00120C8C">
          <w:pPr>
            <w:spacing w:before="0" w:after="0" w:line="240" w:lineRule="auto"/>
            <w:ind w:firstLine="0"/>
            <w:jc w:val="left"/>
            <w:rPr>
              <w:rFonts w:ascii="Tahoma" w:eastAsia="Tahoma" w:hAnsi="Tahoma" w:cs="Tahoma"/>
              <w:b/>
            </w:rPr>
          </w:pPr>
        </w:p>
      </w:tc>
      <w:tc>
        <w:tcPr>
          <w:tcW w:w="5245" w:type="dxa"/>
          <w:vMerge w:val="restart"/>
          <w:vAlign w:val="center"/>
        </w:tcPr>
        <w:p w:rsidR="00120C8C" w:rsidRDefault="00B62310">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YEDITEPE UNIVERSITY</w:t>
          </w:r>
        </w:p>
        <w:p w:rsidR="00120C8C" w:rsidRDefault="00B62310">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FACULTY OF HEALTH SCIENCES</w:t>
          </w:r>
        </w:p>
        <w:p w:rsidR="00120C8C" w:rsidRDefault="00B62310">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DEPARTMENT OF NURSING</w:t>
          </w:r>
        </w:p>
        <w:p w:rsidR="00120C8C" w:rsidRDefault="00B62310" w:rsidP="00001DD9">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b/>
              <w:color w:val="1E1E1E"/>
              <w:sz w:val="24"/>
              <w:szCs w:val="24"/>
            </w:rPr>
          </w:pPr>
          <w:r>
            <w:rPr>
              <w:rFonts w:ascii="Times New Roman" w:eastAsia="Times New Roman" w:hAnsi="Times New Roman" w:cs="Times New Roman"/>
              <w:b/>
              <w:color w:val="1E1E1E"/>
              <w:sz w:val="24"/>
              <w:szCs w:val="24"/>
            </w:rPr>
            <w:t xml:space="preserve">LABORATORY AND CLINICAL PRACTICE COMMISSION </w:t>
          </w:r>
          <w:r w:rsidR="00001DD9">
            <w:rPr>
              <w:rFonts w:ascii="Times New Roman" w:eastAsia="Times New Roman" w:hAnsi="Times New Roman" w:cs="Times New Roman"/>
              <w:b/>
              <w:color w:val="1E1E1E"/>
              <w:sz w:val="24"/>
              <w:szCs w:val="24"/>
            </w:rPr>
            <w:t>REGULATION</w:t>
          </w:r>
        </w:p>
      </w:tc>
      <w:tc>
        <w:tcPr>
          <w:tcW w:w="1701" w:type="dxa"/>
          <w:vAlign w:val="center"/>
        </w:tcPr>
        <w:p w:rsidR="00120C8C" w:rsidRDefault="00B62310">
          <w:pPr>
            <w:tabs>
              <w:tab w:val="left" w:pos="2056"/>
              <w:tab w:val="left" w:pos="2536"/>
            </w:tabs>
            <w:spacing w:before="60" w:after="0" w:line="240" w:lineRule="auto"/>
            <w:ind w:firstLine="0"/>
            <w:jc w:val="left"/>
            <w:rPr>
              <w:rFonts w:ascii="Tahoma" w:eastAsia="Tahoma" w:hAnsi="Tahoma" w:cs="Tahoma"/>
              <w:b/>
              <w:sz w:val="20"/>
              <w:szCs w:val="20"/>
            </w:rPr>
          </w:pPr>
          <w:r>
            <w:rPr>
              <w:rFonts w:ascii="Tahoma" w:eastAsia="Tahoma" w:hAnsi="Tahoma" w:cs="Tahoma"/>
              <w:b/>
              <w:sz w:val="20"/>
              <w:szCs w:val="20"/>
            </w:rPr>
            <w:t>Document number</w:t>
          </w:r>
        </w:p>
      </w:tc>
      <w:tc>
        <w:tcPr>
          <w:tcW w:w="2476" w:type="dxa"/>
          <w:vAlign w:val="center"/>
        </w:tcPr>
        <w:p w:rsidR="00120C8C" w:rsidRDefault="00120C8C">
          <w:pPr>
            <w:tabs>
              <w:tab w:val="left" w:pos="2056"/>
              <w:tab w:val="left" w:pos="2536"/>
            </w:tabs>
            <w:spacing w:before="60" w:after="0" w:line="240" w:lineRule="auto"/>
            <w:ind w:firstLine="0"/>
            <w:jc w:val="left"/>
            <w:rPr>
              <w:rFonts w:ascii="Arial" w:eastAsia="Arial" w:hAnsi="Arial" w:cs="Arial"/>
              <w:sz w:val="20"/>
              <w:szCs w:val="20"/>
            </w:rPr>
          </w:pPr>
        </w:p>
      </w:tc>
    </w:tr>
    <w:tr w:rsidR="00120C8C">
      <w:trPr>
        <w:cantSplit/>
        <w:trHeight w:val="265"/>
        <w:tblHeader/>
      </w:trPr>
      <w:tc>
        <w:tcPr>
          <w:tcW w:w="1985" w:type="dxa"/>
          <w:vMerge/>
          <w:vAlign w:val="center"/>
        </w:tcPr>
        <w:p w:rsidR="00120C8C" w:rsidRDefault="00120C8C">
          <w:pPr>
            <w:widowControl w:val="0"/>
            <w:pBdr>
              <w:top w:val="nil"/>
              <w:left w:val="nil"/>
              <w:bottom w:val="nil"/>
              <w:right w:val="nil"/>
              <w:between w:val="nil"/>
            </w:pBdr>
            <w:spacing w:before="0" w:after="0" w:line="276" w:lineRule="auto"/>
            <w:ind w:firstLine="0"/>
            <w:jc w:val="left"/>
            <w:rPr>
              <w:rFonts w:ascii="Arial" w:eastAsia="Arial" w:hAnsi="Arial" w:cs="Arial"/>
              <w:sz w:val="20"/>
              <w:szCs w:val="20"/>
            </w:rPr>
          </w:pPr>
        </w:p>
      </w:tc>
      <w:tc>
        <w:tcPr>
          <w:tcW w:w="5245" w:type="dxa"/>
          <w:vMerge/>
          <w:vAlign w:val="center"/>
        </w:tcPr>
        <w:p w:rsidR="00120C8C" w:rsidRDefault="00120C8C">
          <w:pPr>
            <w:widowControl w:val="0"/>
            <w:pBdr>
              <w:top w:val="nil"/>
              <w:left w:val="nil"/>
              <w:bottom w:val="nil"/>
              <w:right w:val="nil"/>
              <w:between w:val="nil"/>
            </w:pBdr>
            <w:spacing w:before="0" w:after="0" w:line="276" w:lineRule="auto"/>
            <w:ind w:firstLine="0"/>
            <w:jc w:val="left"/>
            <w:rPr>
              <w:rFonts w:ascii="Arial" w:eastAsia="Arial" w:hAnsi="Arial" w:cs="Arial"/>
              <w:sz w:val="20"/>
              <w:szCs w:val="20"/>
            </w:rPr>
          </w:pPr>
        </w:p>
      </w:tc>
      <w:tc>
        <w:tcPr>
          <w:tcW w:w="1701" w:type="dxa"/>
          <w:vAlign w:val="center"/>
        </w:tcPr>
        <w:p w:rsidR="00120C8C" w:rsidRDefault="00B62310">
          <w:pPr>
            <w:tabs>
              <w:tab w:val="left" w:pos="2056"/>
              <w:tab w:val="left" w:pos="2536"/>
            </w:tabs>
            <w:spacing w:before="60" w:after="0" w:line="240" w:lineRule="auto"/>
            <w:ind w:firstLine="0"/>
            <w:jc w:val="left"/>
            <w:rPr>
              <w:rFonts w:ascii="Tahoma" w:eastAsia="Tahoma" w:hAnsi="Tahoma" w:cs="Tahoma"/>
              <w:b/>
              <w:sz w:val="20"/>
              <w:szCs w:val="20"/>
            </w:rPr>
          </w:pPr>
          <w:r>
            <w:rPr>
              <w:rFonts w:ascii="Tahoma" w:eastAsia="Tahoma" w:hAnsi="Tahoma" w:cs="Tahoma"/>
              <w:b/>
              <w:sz w:val="20"/>
              <w:szCs w:val="20"/>
            </w:rPr>
            <w:t>Release date</w:t>
          </w:r>
        </w:p>
      </w:tc>
      <w:tc>
        <w:tcPr>
          <w:tcW w:w="2476" w:type="dxa"/>
          <w:vAlign w:val="center"/>
        </w:tcPr>
        <w:p w:rsidR="00120C8C" w:rsidRDefault="00120C8C">
          <w:pPr>
            <w:tabs>
              <w:tab w:val="left" w:pos="2056"/>
              <w:tab w:val="left" w:pos="2536"/>
            </w:tabs>
            <w:spacing w:before="60" w:after="0" w:line="240" w:lineRule="auto"/>
            <w:ind w:firstLine="0"/>
            <w:jc w:val="left"/>
            <w:rPr>
              <w:rFonts w:ascii="Tahoma" w:eastAsia="Tahoma" w:hAnsi="Tahoma" w:cs="Tahoma"/>
              <w:sz w:val="20"/>
              <w:szCs w:val="20"/>
            </w:rPr>
          </w:pPr>
        </w:p>
      </w:tc>
    </w:tr>
    <w:tr w:rsidR="00120C8C">
      <w:trPr>
        <w:cantSplit/>
        <w:trHeight w:val="242"/>
        <w:tblHeader/>
      </w:trPr>
      <w:tc>
        <w:tcPr>
          <w:tcW w:w="1985" w:type="dxa"/>
          <w:vMerge/>
          <w:vAlign w:val="center"/>
        </w:tcPr>
        <w:p w:rsidR="00120C8C" w:rsidRDefault="00120C8C">
          <w:pPr>
            <w:widowControl w:val="0"/>
            <w:pBdr>
              <w:top w:val="nil"/>
              <w:left w:val="nil"/>
              <w:bottom w:val="nil"/>
              <w:right w:val="nil"/>
              <w:between w:val="nil"/>
            </w:pBdr>
            <w:spacing w:before="0" w:after="0" w:line="276" w:lineRule="auto"/>
            <w:ind w:firstLine="0"/>
            <w:jc w:val="left"/>
            <w:rPr>
              <w:rFonts w:ascii="Tahoma" w:eastAsia="Tahoma" w:hAnsi="Tahoma" w:cs="Tahoma"/>
              <w:sz w:val="20"/>
              <w:szCs w:val="20"/>
            </w:rPr>
          </w:pPr>
        </w:p>
      </w:tc>
      <w:tc>
        <w:tcPr>
          <w:tcW w:w="5245" w:type="dxa"/>
          <w:vMerge/>
          <w:vAlign w:val="center"/>
        </w:tcPr>
        <w:p w:rsidR="00120C8C" w:rsidRDefault="00120C8C">
          <w:pPr>
            <w:widowControl w:val="0"/>
            <w:pBdr>
              <w:top w:val="nil"/>
              <w:left w:val="nil"/>
              <w:bottom w:val="nil"/>
              <w:right w:val="nil"/>
              <w:between w:val="nil"/>
            </w:pBdr>
            <w:spacing w:before="0" w:after="0" w:line="276" w:lineRule="auto"/>
            <w:ind w:firstLine="0"/>
            <w:jc w:val="left"/>
            <w:rPr>
              <w:rFonts w:ascii="Tahoma" w:eastAsia="Tahoma" w:hAnsi="Tahoma" w:cs="Tahoma"/>
              <w:sz w:val="20"/>
              <w:szCs w:val="20"/>
            </w:rPr>
          </w:pPr>
        </w:p>
      </w:tc>
      <w:tc>
        <w:tcPr>
          <w:tcW w:w="1701" w:type="dxa"/>
          <w:vAlign w:val="center"/>
        </w:tcPr>
        <w:p w:rsidR="00120C8C" w:rsidRDefault="00B62310">
          <w:pPr>
            <w:tabs>
              <w:tab w:val="left" w:pos="2056"/>
              <w:tab w:val="left" w:pos="2536"/>
            </w:tabs>
            <w:spacing w:before="60" w:after="0" w:line="240" w:lineRule="auto"/>
            <w:ind w:firstLine="0"/>
            <w:jc w:val="left"/>
            <w:rPr>
              <w:rFonts w:ascii="Tahoma" w:eastAsia="Tahoma" w:hAnsi="Tahoma" w:cs="Tahoma"/>
              <w:b/>
              <w:sz w:val="20"/>
              <w:szCs w:val="20"/>
            </w:rPr>
          </w:pPr>
          <w:r>
            <w:rPr>
              <w:rFonts w:ascii="Tahoma" w:eastAsia="Tahoma" w:hAnsi="Tahoma" w:cs="Tahoma"/>
              <w:b/>
              <w:sz w:val="20"/>
              <w:szCs w:val="20"/>
            </w:rPr>
            <w:t>Revision Number</w:t>
          </w:r>
        </w:p>
      </w:tc>
      <w:tc>
        <w:tcPr>
          <w:tcW w:w="2476" w:type="dxa"/>
          <w:vAlign w:val="center"/>
        </w:tcPr>
        <w:p w:rsidR="00120C8C" w:rsidRDefault="00120C8C">
          <w:pPr>
            <w:tabs>
              <w:tab w:val="left" w:pos="2056"/>
              <w:tab w:val="left" w:pos="2536"/>
            </w:tabs>
            <w:spacing w:before="60" w:after="0" w:line="240" w:lineRule="auto"/>
            <w:ind w:firstLine="0"/>
            <w:jc w:val="left"/>
            <w:rPr>
              <w:rFonts w:ascii="Tahoma" w:eastAsia="Tahoma" w:hAnsi="Tahoma" w:cs="Tahoma"/>
              <w:sz w:val="20"/>
              <w:szCs w:val="20"/>
            </w:rPr>
          </w:pPr>
        </w:p>
      </w:tc>
    </w:tr>
    <w:tr w:rsidR="00120C8C">
      <w:trPr>
        <w:cantSplit/>
        <w:trHeight w:val="235"/>
        <w:tblHeader/>
      </w:trPr>
      <w:tc>
        <w:tcPr>
          <w:tcW w:w="1985" w:type="dxa"/>
          <w:vMerge/>
          <w:vAlign w:val="center"/>
        </w:tcPr>
        <w:p w:rsidR="00120C8C" w:rsidRDefault="00120C8C">
          <w:pPr>
            <w:widowControl w:val="0"/>
            <w:pBdr>
              <w:top w:val="nil"/>
              <w:left w:val="nil"/>
              <w:bottom w:val="nil"/>
              <w:right w:val="nil"/>
              <w:between w:val="nil"/>
            </w:pBdr>
            <w:spacing w:before="0" w:after="0" w:line="276" w:lineRule="auto"/>
            <w:ind w:firstLine="0"/>
            <w:jc w:val="left"/>
            <w:rPr>
              <w:rFonts w:ascii="Tahoma" w:eastAsia="Tahoma" w:hAnsi="Tahoma" w:cs="Tahoma"/>
              <w:sz w:val="20"/>
              <w:szCs w:val="20"/>
            </w:rPr>
          </w:pPr>
        </w:p>
      </w:tc>
      <w:tc>
        <w:tcPr>
          <w:tcW w:w="5245" w:type="dxa"/>
          <w:vMerge/>
          <w:vAlign w:val="center"/>
        </w:tcPr>
        <w:p w:rsidR="00120C8C" w:rsidRDefault="00120C8C">
          <w:pPr>
            <w:widowControl w:val="0"/>
            <w:pBdr>
              <w:top w:val="nil"/>
              <w:left w:val="nil"/>
              <w:bottom w:val="nil"/>
              <w:right w:val="nil"/>
              <w:between w:val="nil"/>
            </w:pBdr>
            <w:spacing w:before="0" w:after="0" w:line="276" w:lineRule="auto"/>
            <w:ind w:firstLine="0"/>
            <w:jc w:val="left"/>
            <w:rPr>
              <w:rFonts w:ascii="Tahoma" w:eastAsia="Tahoma" w:hAnsi="Tahoma" w:cs="Tahoma"/>
              <w:sz w:val="20"/>
              <w:szCs w:val="20"/>
            </w:rPr>
          </w:pPr>
        </w:p>
      </w:tc>
      <w:tc>
        <w:tcPr>
          <w:tcW w:w="1701" w:type="dxa"/>
          <w:vAlign w:val="center"/>
        </w:tcPr>
        <w:p w:rsidR="00120C8C" w:rsidRDefault="00B62310">
          <w:pPr>
            <w:tabs>
              <w:tab w:val="left" w:pos="2056"/>
              <w:tab w:val="left" w:pos="2536"/>
            </w:tabs>
            <w:spacing w:before="60" w:after="0" w:line="240" w:lineRule="auto"/>
            <w:ind w:firstLine="0"/>
            <w:jc w:val="left"/>
            <w:rPr>
              <w:rFonts w:ascii="Tahoma" w:eastAsia="Tahoma" w:hAnsi="Tahoma" w:cs="Tahoma"/>
              <w:b/>
              <w:sz w:val="20"/>
              <w:szCs w:val="20"/>
            </w:rPr>
          </w:pPr>
          <w:r>
            <w:rPr>
              <w:rFonts w:ascii="Tahoma" w:eastAsia="Tahoma" w:hAnsi="Tahoma" w:cs="Tahoma"/>
              <w:b/>
              <w:sz w:val="20"/>
              <w:szCs w:val="20"/>
            </w:rPr>
            <w:t>Page Number</w:t>
          </w:r>
        </w:p>
      </w:tc>
      <w:tc>
        <w:tcPr>
          <w:tcW w:w="2476" w:type="dxa"/>
          <w:vAlign w:val="center"/>
        </w:tcPr>
        <w:p w:rsidR="00120C8C" w:rsidRDefault="00120C8C">
          <w:pPr>
            <w:tabs>
              <w:tab w:val="center" w:pos="4536"/>
              <w:tab w:val="right" w:pos="9072"/>
            </w:tabs>
            <w:spacing w:before="0" w:after="0" w:line="240" w:lineRule="auto"/>
            <w:ind w:firstLine="0"/>
            <w:jc w:val="left"/>
            <w:rPr>
              <w:rFonts w:ascii="Tahoma" w:eastAsia="Tahoma" w:hAnsi="Tahoma" w:cs="Tahoma"/>
              <w:sz w:val="20"/>
              <w:szCs w:val="20"/>
            </w:rPr>
          </w:pPr>
        </w:p>
      </w:tc>
    </w:tr>
  </w:tbl>
  <w:p w:rsidR="00120C8C" w:rsidRDefault="00120C8C">
    <w:pPr>
      <w:pBdr>
        <w:top w:val="nil"/>
        <w:left w:val="nil"/>
        <w:bottom w:val="nil"/>
        <w:right w:val="nil"/>
        <w:between w:val="nil"/>
      </w:pBdr>
      <w:tabs>
        <w:tab w:val="center" w:pos="4703"/>
        <w:tab w:val="right" w:pos="9406"/>
      </w:tabs>
      <w:spacing w:before="0" w:after="0" w:line="240" w:lineRule="auto"/>
      <w:ind w:firstLine="0"/>
      <w:rPr>
        <w:b/>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32928"/>
    <w:multiLevelType w:val="multilevel"/>
    <w:tmpl w:val="06183794"/>
    <w:lvl w:ilvl="0">
      <w:start w:val="1"/>
      <w:numFmt w:val="bullet"/>
      <w:lvlText w:val="●"/>
      <w:lvlJc w:val="left"/>
      <w:pPr>
        <w:ind w:left="720" w:hanging="360"/>
      </w:pPr>
      <w:rPr>
        <w:rFonts w:ascii="Noto Sans Symbols" w:eastAsia="Noto Sans Symbols" w:hAnsi="Noto Sans Symbols" w:cs="Noto Sans Symbols"/>
        <w:sz w:val="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20C8C"/>
    <w:rsid w:val="00001DD9"/>
    <w:rsid w:val="00120C8C"/>
    <w:rsid w:val="001B6DAF"/>
    <w:rsid w:val="00AF3F51"/>
    <w:rsid w:val="00B62310"/>
    <w:rsid w:val="00F164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eastAsia="tr-TR" w:bidi="ar-SA"/>
      </w:rPr>
    </w:rPrDefault>
    <w:pPrDefault>
      <w:pPr>
        <w:spacing w:before="120"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EB"/>
  </w:style>
  <w:style w:type="paragraph" w:styleId="Heading1">
    <w:name w:val="heading 1"/>
    <w:basedOn w:val="Normal"/>
    <w:next w:val="Normal"/>
    <w:rsid w:val="00120C8C"/>
    <w:pPr>
      <w:keepNext/>
      <w:keepLines/>
      <w:spacing w:before="480"/>
      <w:outlineLvl w:val="0"/>
    </w:pPr>
    <w:rPr>
      <w:b/>
      <w:sz w:val="48"/>
      <w:szCs w:val="48"/>
    </w:rPr>
  </w:style>
  <w:style w:type="paragraph" w:styleId="Heading2">
    <w:name w:val="heading 2"/>
    <w:basedOn w:val="Normal"/>
    <w:next w:val="Normal"/>
    <w:rsid w:val="00120C8C"/>
    <w:pPr>
      <w:keepNext/>
      <w:keepLines/>
      <w:spacing w:before="360" w:after="80"/>
      <w:outlineLvl w:val="1"/>
    </w:pPr>
    <w:rPr>
      <w:b/>
      <w:sz w:val="36"/>
      <w:szCs w:val="36"/>
    </w:rPr>
  </w:style>
  <w:style w:type="paragraph" w:styleId="Heading3">
    <w:name w:val="heading 3"/>
    <w:basedOn w:val="Normal"/>
    <w:next w:val="Normal"/>
    <w:rsid w:val="00120C8C"/>
    <w:pPr>
      <w:keepNext/>
      <w:keepLines/>
      <w:spacing w:before="280" w:after="80"/>
      <w:outlineLvl w:val="2"/>
    </w:pPr>
    <w:rPr>
      <w:b/>
      <w:sz w:val="28"/>
      <w:szCs w:val="28"/>
    </w:rPr>
  </w:style>
  <w:style w:type="paragraph" w:styleId="Heading4">
    <w:name w:val="heading 4"/>
    <w:basedOn w:val="Normal"/>
    <w:next w:val="Normal"/>
    <w:rsid w:val="00120C8C"/>
    <w:pPr>
      <w:keepNext/>
      <w:keepLines/>
      <w:spacing w:before="240" w:after="40"/>
      <w:outlineLvl w:val="3"/>
    </w:pPr>
    <w:rPr>
      <w:b/>
      <w:sz w:val="24"/>
      <w:szCs w:val="24"/>
    </w:rPr>
  </w:style>
  <w:style w:type="paragraph" w:styleId="Heading5">
    <w:name w:val="heading 5"/>
    <w:basedOn w:val="Normal"/>
    <w:next w:val="Normal"/>
    <w:rsid w:val="00120C8C"/>
    <w:pPr>
      <w:keepNext/>
      <w:keepLines/>
      <w:spacing w:before="220" w:after="40"/>
      <w:outlineLvl w:val="4"/>
    </w:pPr>
    <w:rPr>
      <w:b/>
    </w:rPr>
  </w:style>
  <w:style w:type="paragraph" w:styleId="Heading6">
    <w:name w:val="heading 6"/>
    <w:basedOn w:val="Normal"/>
    <w:next w:val="Normal"/>
    <w:rsid w:val="00120C8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20C8C"/>
  </w:style>
  <w:style w:type="paragraph" w:styleId="Title">
    <w:name w:val="Title"/>
    <w:basedOn w:val="Normal"/>
    <w:next w:val="Normal"/>
    <w:rsid w:val="00120C8C"/>
    <w:pPr>
      <w:keepNext/>
      <w:keepLines/>
      <w:spacing w:before="480"/>
    </w:pPr>
    <w:rPr>
      <w:b/>
      <w:sz w:val="72"/>
      <w:szCs w:val="72"/>
    </w:rPr>
  </w:style>
  <w:style w:type="paragraph" w:customStyle="1" w:styleId="normal1">
    <w:name w:val="normal"/>
    <w:rsid w:val="00120C8C"/>
  </w:style>
  <w:style w:type="paragraph" w:styleId="NormalWeb">
    <w:name w:val="Normal (Web)"/>
    <w:basedOn w:val="Normal"/>
    <w:uiPriority w:val="99"/>
    <w:unhideWhenUsed/>
    <w:rsid w:val="0071361B"/>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71361B"/>
    <w:rPr>
      <w:b/>
      <w:bCs/>
    </w:rPr>
  </w:style>
  <w:style w:type="paragraph" w:styleId="ListParagraph">
    <w:name w:val="List Paragraph"/>
    <w:basedOn w:val="Normal"/>
    <w:uiPriority w:val="1"/>
    <w:qFormat/>
    <w:rsid w:val="00275ADB"/>
    <w:pPr>
      <w:ind w:left="720"/>
      <w:contextualSpacing/>
    </w:pPr>
  </w:style>
  <w:style w:type="paragraph" w:styleId="BalloonText">
    <w:name w:val="Balloon Text"/>
    <w:basedOn w:val="Normal"/>
    <w:link w:val="BalloonTextChar"/>
    <w:uiPriority w:val="99"/>
    <w:semiHidden/>
    <w:unhideWhenUsed/>
    <w:rsid w:val="002969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92C"/>
    <w:rPr>
      <w:rFonts w:ascii="Segoe UI" w:hAnsi="Segoe UI" w:cs="Segoe UI"/>
      <w:sz w:val="18"/>
      <w:szCs w:val="18"/>
    </w:rPr>
  </w:style>
  <w:style w:type="paragraph" w:styleId="Header">
    <w:name w:val="header"/>
    <w:basedOn w:val="Normal"/>
    <w:link w:val="HeaderChar"/>
    <w:uiPriority w:val="99"/>
    <w:unhideWhenUsed/>
    <w:rsid w:val="004263EB"/>
    <w:pPr>
      <w:tabs>
        <w:tab w:val="center" w:pos="4703"/>
        <w:tab w:val="right" w:pos="9406"/>
      </w:tabs>
      <w:spacing w:before="0" w:after="0" w:line="240" w:lineRule="auto"/>
    </w:pPr>
  </w:style>
  <w:style w:type="character" w:customStyle="1" w:styleId="HeaderChar">
    <w:name w:val="Header Char"/>
    <w:basedOn w:val="DefaultParagraphFont"/>
    <w:link w:val="Header"/>
    <w:uiPriority w:val="99"/>
    <w:rsid w:val="004263EB"/>
  </w:style>
  <w:style w:type="paragraph" w:styleId="Footer">
    <w:name w:val="footer"/>
    <w:basedOn w:val="Normal"/>
    <w:link w:val="FooterChar"/>
    <w:uiPriority w:val="99"/>
    <w:unhideWhenUsed/>
    <w:rsid w:val="004263EB"/>
    <w:pPr>
      <w:tabs>
        <w:tab w:val="center" w:pos="4703"/>
        <w:tab w:val="right" w:pos="9406"/>
      </w:tabs>
      <w:spacing w:before="0" w:after="0" w:line="240" w:lineRule="auto"/>
    </w:pPr>
  </w:style>
  <w:style w:type="character" w:customStyle="1" w:styleId="FooterChar">
    <w:name w:val="Footer Char"/>
    <w:basedOn w:val="DefaultParagraphFont"/>
    <w:link w:val="Footer"/>
    <w:uiPriority w:val="99"/>
    <w:rsid w:val="004263EB"/>
  </w:style>
  <w:style w:type="character" w:styleId="Hyperlink">
    <w:name w:val="Hyperlink"/>
    <w:basedOn w:val="DefaultParagraphFont"/>
    <w:uiPriority w:val="99"/>
    <w:unhideWhenUsed/>
    <w:rsid w:val="00720F49"/>
    <w:rPr>
      <w:color w:val="0563C1" w:themeColor="hyperlink"/>
      <w:u w:val="single"/>
    </w:rPr>
  </w:style>
  <w:style w:type="paragraph" w:styleId="Subtitle">
    <w:name w:val="Subtitle"/>
    <w:basedOn w:val="Normal"/>
    <w:next w:val="Normal"/>
    <w:rsid w:val="00120C8C"/>
    <w:pPr>
      <w:keepNext/>
      <w:keepLines/>
      <w:spacing w:before="360" w:after="80"/>
    </w:pPr>
    <w:rPr>
      <w:rFonts w:ascii="Georgia" w:eastAsia="Georgia" w:hAnsi="Georgia" w:cs="Georgia"/>
      <w:i/>
      <w:color w:val="666666"/>
      <w:sz w:val="48"/>
      <w:szCs w:val="48"/>
    </w:rPr>
  </w:style>
  <w:style w:type="table" w:customStyle="1" w:styleId="a">
    <w:basedOn w:val="TableNormal"/>
    <w:rsid w:val="00120C8C"/>
    <w:tblPr>
      <w:tblStyleRowBandSize w:val="1"/>
      <w:tblStyleColBandSize w:val="1"/>
      <w:tblInd w:w="0" w:type="dxa"/>
      <w:tblCellMar>
        <w:top w:w="0" w:type="dxa"/>
        <w:left w:w="70" w:type="dxa"/>
        <w:bottom w:w="0" w:type="dxa"/>
        <w:right w:w="70" w:type="dxa"/>
      </w:tblCellMar>
    </w:tblPr>
  </w:style>
  <w:style w:type="character" w:styleId="CommentReference">
    <w:name w:val="annotation reference"/>
    <w:basedOn w:val="DefaultParagraphFont"/>
    <w:uiPriority w:val="99"/>
    <w:semiHidden/>
    <w:unhideWhenUsed/>
    <w:rsid w:val="00BE2DDE"/>
    <w:rPr>
      <w:sz w:val="16"/>
      <w:szCs w:val="16"/>
    </w:rPr>
  </w:style>
  <w:style w:type="paragraph" w:styleId="CommentText">
    <w:name w:val="annotation text"/>
    <w:basedOn w:val="Normal"/>
    <w:link w:val="CommentTextChar"/>
    <w:uiPriority w:val="99"/>
    <w:semiHidden/>
    <w:unhideWhenUsed/>
    <w:rsid w:val="00BE2DDE"/>
    <w:pPr>
      <w:spacing w:line="240" w:lineRule="auto"/>
    </w:pPr>
    <w:rPr>
      <w:sz w:val="20"/>
      <w:szCs w:val="20"/>
    </w:rPr>
  </w:style>
  <w:style w:type="character" w:customStyle="1" w:styleId="CommentTextChar">
    <w:name w:val="Comment Text Char"/>
    <w:basedOn w:val="DefaultParagraphFont"/>
    <w:link w:val="CommentText"/>
    <w:uiPriority w:val="99"/>
    <w:semiHidden/>
    <w:rsid w:val="00BE2DDE"/>
    <w:rPr>
      <w:sz w:val="20"/>
      <w:szCs w:val="20"/>
    </w:rPr>
  </w:style>
  <w:style w:type="paragraph" w:styleId="CommentSubject">
    <w:name w:val="annotation subject"/>
    <w:basedOn w:val="CommentText"/>
    <w:next w:val="CommentText"/>
    <w:link w:val="CommentSubjectChar"/>
    <w:uiPriority w:val="99"/>
    <w:semiHidden/>
    <w:unhideWhenUsed/>
    <w:rsid w:val="00BE2DDE"/>
    <w:rPr>
      <w:b/>
      <w:bCs/>
    </w:rPr>
  </w:style>
  <w:style w:type="character" w:customStyle="1" w:styleId="CommentSubjectChar">
    <w:name w:val="Comment Subject Char"/>
    <w:basedOn w:val="CommentTextChar"/>
    <w:link w:val="CommentSubject"/>
    <w:uiPriority w:val="99"/>
    <w:semiHidden/>
    <w:rsid w:val="00BE2DDE"/>
    <w:rPr>
      <w:b/>
      <w:bCs/>
      <w:sz w:val="20"/>
      <w:szCs w:val="20"/>
    </w:rPr>
  </w:style>
  <w:style w:type="table" w:customStyle="1" w:styleId="a0">
    <w:basedOn w:val="TableNormal"/>
    <w:rsid w:val="00120C8C"/>
    <w:tblPr>
      <w:tblStyleRowBandSize w:val="1"/>
      <w:tblStyleColBandSize w:val="1"/>
      <w:tblInd w:w="0" w:type="dxa"/>
      <w:tblCellMar>
        <w:top w:w="0" w:type="dxa"/>
        <w:left w:w="70" w:type="dxa"/>
        <w:bottom w:w="0" w:type="dxa"/>
        <w:right w:w="70" w:type="dxa"/>
      </w:tblCellMar>
    </w:tblPr>
  </w:style>
  <w:style w:type="table" w:customStyle="1" w:styleId="a1">
    <w:basedOn w:val="TableNormal"/>
    <w:rsid w:val="00120C8C"/>
    <w:tblPr>
      <w:tblStyleRowBandSize w:val="1"/>
      <w:tblStyleColBandSize w:val="1"/>
      <w:tblInd w:w="0" w:type="dxa"/>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f6zZqQhWsDXiJoXrq0bWHhs2PQ==">AMUW2mWPzSBCmMMP5cwrOk5asxPn/EvlldFMt7G3aK1fKrgtvT5XiNvxiszaTh9Jl3WqDEOyqDftf3S//znrPwpSs74m4Gg44E9Tx34jNT4FLdOmMdVNlwQ=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1831</Words>
  <Characters>10441</Characters>
  <Application>Microsoft Office Word</Application>
  <DocSecurity>0</DocSecurity>
  <Lines>87</Lines>
  <Paragraphs>24</Paragraphs>
  <ScaleCrop>false</ScaleCrop>
  <Company/>
  <LinksUpToDate>false</LinksUpToDate>
  <CharactersWithSpaces>12248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irem cebioglu</dc:creator>
  <cp:lastModifiedBy>ayşenur keleş</cp:lastModifiedBy>
  <cp:revision>3</cp:revision>
  <dcterms:created xsi:type="dcterms:W3CDTF">2021-09-06T19:04:00Z</dcterms:created>
  <dcterms:modified xsi:type="dcterms:W3CDTF">2022-12-10T17:05:00Z</dcterms:modified>
</cp:coreProperties>
</file>