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ffffff" w:val="clear"/>
        <w:spacing w:after="0" w:before="0" w:lineRule="auto"/>
        <w:ind w:firstLine="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ffffff" w:val="clear"/>
        <w:spacing w:after="0" w:before="0" w:lineRule="auto"/>
        <w:ind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BİRİNCİ BÖLÜM</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spacing w:after="0" w:before="0" w:lineRule="auto"/>
        <w:ind w:firstLine="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ffffff" w:val="clear"/>
        <w:spacing w:after="0" w:before="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AMAÇ, KAPSAM, DAYANAK</w:t>
      </w:r>
      <w:r w:rsidDel="00000000" w:rsidR="00000000" w:rsidRPr="00000000">
        <w:rPr>
          <w:rFonts w:ascii="Times New Roman" w:cs="Times New Roman" w:eastAsia="Times New Roman" w:hAnsi="Times New Roman"/>
          <w:sz w:val="24"/>
          <w:szCs w:val="24"/>
          <w:rtl w:val="0"/>
        </w:rPr>
        <w:t xml:space="preserve"> ve</w:t>
      </w:r>
      <w:r w:rsidDel="00000000" w:rsidR="00000000" w:rsidRPr="00000000">
        <w:rPr>
          <w:rFonts w:ascii="Times New Roman" w:cs="Times New Roman" w:eastAsia="Times New Roman" w:hAnsi="Times New Roman"/>
          <w:color w:val="000000"/>
          <w:sz w:val="24"/>
          <w:szCs w:val="24"/>
          <w:rtl w:val="0"/>
        </w:rPr>
        <w:t xml:space="preserve"> TANIMLAR</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spacing w:after="0" w:before="0" w:lineRule="auto"/>
        <w:ind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1. AMAÇ: </w:t>
      </w:r>
      <w:r w:rsidDel="00000000" w:rsidR="00000000" w:rsidRPr="00000000">
        <w:rPr>
          <w:rFonts w:ascii="Times New Roman" w:cs="Times New Roman" w:eastAsia="Times New Roman" w:hAnsi="Times New Roman"/>
          <w:sz w:val="24"/>
          <w:szCs w:val="24"/>
          <w:rtl w:val="0"/>
        </w:rPr>
        <w:t xml:space="preserve">Bu yönergenin amacı, Yeditepe Üniversitesi Sağlık Bilimleri Fakültesi Hemşirelik Bölümü Laboratuvar ve Klinik Uygulama Komisyonu’nun yapısını, görevlerini, yetki, sorumluluk ve çalışma esaslarını belirlemektir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7">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2. KAPSAM: </w:t>
      </w:r>
      <w:r w:rsidDel="00000000" w:rsidR="00000000" w:rsidRPr="00000000">
        <w:rPr>
          <w:rFonts w:ascii="Times New Roman" w:cs="Times New Roman" w:eastAsia="Times New Roman" w:hAnsi="Times New Roman"/>
          <w:sz w:val="24"/>
          <w:szCs w:val="24"/>
          <w:rtl w:val="0"/>
        </w:rPr>
        <w:t xml:space="preserve">Bu yönerge, Yeditepe Üniversitesi Sağlık Bilimleri Fakültesi Hemşirelik Bölümü’nün diğer komisyonlarından gelen klinik uygulama/staj alanında görüşülmesi gereken konularla ilgili önerilerin düzenlenmesi, gerekli iyileştirici faaliyetlerin planlanması, yürütülmesi, komisyonun düzenli ve etkin çalışmasının sağlamasına  ilişkin usul ve esasları kapsar.</w:t>
      </w:r>
    </w:p>
    <w:p w:rsidR="00000000" w:rsidDel="00000000" w:rsidP="00000000" w:rsidRDefault="00000000" w:rsidRPr="00000000" w14:paraId="00000008">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3. DAYANAK:</w:t>
      </w:r>
      <w:r w:rsidDel="00000000" w:rsidR="00000000" w:rsidRPr="00000000">
        <w:rPr>
          <w:rFonts w:ascii="Times New Roman" w:cs="Times New Roman" w:eastAsia="Times New Roman" w:hAnsi="Times New Roman"/>
          <w:sz w:val="24"/>
          <w:szCs w:val="24"/>
          <w:rtl w:val="0"/>
        </w:rPr>
        <w:t xml:space="preserve"> Aşağıda listelenen yönerge ve yönetmelikler doğrultusunda komisyon çalışma ilkeleri belirlenmiştir:</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Yeditepe Üniversitesi Önlisans ve Lisans Eğitim Öğretim Yönetmeliği ve ilgili mevzuatlar,</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Sağlık Müdürlüğü ile yapılan Staj Protokolü6283 sayılı Hemşirelik Kanunu,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27515 sayılı Resmi Gazete’de yayımlanan Hemşirelik Yönetmeliği,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27910 sayılı Resmi Gazete’de yayımlanan “Hemşirelik Yönetmeliğinde Değişiklik Yapılmasına Dair Ek Yönetmelik”,26775 sayılı Resmi Gazete’de yayımlanan “Doktorluk, Hemşirelik, Ebelik, Diş Hekimliği, Veterinerlik, Eczacılık ve Mimarlık Eğitim Programlarının Asgari Eğitim Koşullarının Belirlenmesine Dair Yönetmelik”,</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YÖK Hemşirelik Ulusal Çekirdek Eğitim Programı (HUÇEP),</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Hemşirelik Eğitim Programları Değerlendirme ve Akreditasyon Kurulu (HEPDAK),</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17/6/2021 tarihli 31514 sayılı Resmî Gazete’de yayımlanan Yükseköğretimde Uygulamalı Eğitimler Çerçeve Yönetmeliği,</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24/09/2020 tarihli toplantısında karar verilen Yükseköğretim Kurumlarında Uzaktan Öğretime İlişkin Usul ve Esaslar</w:t>
      </w:r>
      <w:r w:rsidDel="00000000" w:rsidR="00000000" w:rsidRPr="00000000">
        <w:rPr>
          <w:rtl w:val="0"/>
        </w:rPr>
      </w:r>
    </w:p>
    <w:p w:rsidR="00000000" w:rsidDel="00000000" w:rsidP="00000000" w:rsidRDefault="00000000" w:rsidRPr="00000000" w14:paraId="0000001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4</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TANIMLAR</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Bu yönergede geçen;</w:t>
      </w:r>
    </w:p>
    <w:p w:rsidR="00000000" w:rsidDel="00000000" w:rsidP="00000000" w:rsidRDefault="00000000" w:rsidRPr="00000000" w14:paraId="00000014">
      <w:pPr>
        <w:ind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4.1. </w:t>
      </w:r>
      <w:r w:rsidDel="00000000" w:rsidR="00000000" w:rsidRPr="00000000">
        <w:rPr>
          <w:rFonts w:ascii="Times New Roman" w:cs="Times New Roman" w:eastAsia="Times New Roman" w:hAnsi="Times New Roman"/>
          <w:b w:val="1"/>
          <w:color w:val="000000"/>
          <w:sz w:val="24"/>
          <w:szCs w:val="24"/>
          <w:rtl w:val="0"/>
        </w:rPr>
        <w:t xml:space="preserve">Laboratuvar Uygulaması:</w:t>
      </w:r>
      <w:r w:rsidDel="00000000" w:rsidR="00000000" w:rsidRPr="00000000">
        <w:rPr>
          <w:rFonts w:ascii="Times New Roman" w:cs="Times New Roman" w:eastAsia="Times New Roman" w:hAnsi="Times New Roman"/>
          <w:sz w:val="24"/>
          <w:szCs w:val="24"/>
          <w:rtl w:val="0"/>
        </w:rPr>
        <w:t xml:space="preserve"> Dönem içi derslerde anlatılan mesleki becerilerin maket ve modeller ile öğrencilere yaptırılan uygulamaları,</w:t>
      </w:r>
      <w:r w:rsidDel="00000000" w:rsidR="00000000" w:rsidRPr="00000000">
        <w:rPr>
          <w:rtl w:val="0"/>
        </w:rPr>
      </w:r>
    </w:p>
    <w:p w:rsidR="00000000" w:rsidDel="00000000" w:rsidP="00000000" w:rsidRDefault="00000000" w:rsidRPr="00000000" w14:paraId="00000015">
      <w:pPr>
        <w:ind w:firstLine="0"/>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b w:val="1"/>
          <w:sz w:val="24"/>
          <w:szCs w:val="24"/>
          <w:rtl w:val="0"/>
        </w:rPr>
        <w:t xml:space="preserve">4.2. </w:t>
      </w:r>
      <w:r w:rsidDel="00000000" w:rsidR="00000000" w:rsidRPr="00000000">
        <w:rPr>
          <w:rFonts w:ascii="Times New Roman" w:cs="Times New Roman" w:eastAsia="Times New Roman" w:hAnsi="Times New Roman"/>
          <w:b w:val="1"/>
          <w:color w:val="000000"/>
          <w:sz w:val="24"/>
          <w:szCs w:val="24"/>
          <w:rtl w:val="0"/>
        </w:rPr>
        <w:t xml:space="preserve">Klinik Uygulama/staj:</w:t>
      </w:r>
      <w:r w:rsidDel="00000000" w:rsidR="00000000" w:rsidRPr="00000000">
        <w:rPr>
          <w:rFonts w:ascii="Times New Roman" w:cs="Times New Roman" w:eastAsia="Times New Roman" w:hAnsi="Times New Roman"/>
          <w:color w:val="000000"/>
          <w:sz w:val="24"/>
          <w:szCs w:val="24"/>
          <w:rtl w:val="0"/>
        </w:rPr>
        <w:t xml:space="preserve"> Mesleki bilginin beceri, tutum ve davranışa dönüştürülmesine yönelik 5-e-maddesinde dış paydaşlar olarak belirtilen kurumlarda, hemşirelik anabilim dalları ile ilgili derslerin  uygulaması olarak yapılan mesleki çalışmayı,</w:t>
      </w:r>
      <w:r w:rsidDel="00000000" w:rsidR="00000000" w:rsidRPr="00000000">
        <w:rPr>
          <w:rtl w:val="0"/>
        </w:rPr>
      </w:r>
    </w:p>
    <w:p w:rsidR="00000000" w:rsidDel="00000000" w:rsidP="00000000" w:rsidRDefault="00000000" w:rsidRPr="00000000" w14:paraId="00000016">
      <w:pPr>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4.3. </w:t>
      </w:r>
      <w:r w:rsidDel="00000000" w:rsidR="00000000" w:rsidRPr="00000000">
        <w:rPr>
          <w:rFonts w:ascii="Times New Roman" w:cs="Times New Roman" w:eastAsia="Times New Roman" w:hAnsi="Times New Roman"/>
          <w:b w:val="1"/>
          <w:color w:val="000000"/>
          <w:sz w:val="24"/>
          <w:szCs w:val="24"/>
          <w:rtl w:val="0"/>
        </w:rPr>
        <w:t xml:space="preserve">Yaz dönemi klinik uygulama/stajı:</w:t>
      </w:r>
      <w:r w:rsidDel="00000000" w:rsidR="00000000" w:rsidRPr="00000000">
        <w:rPr>
          <w:rFonts w:ascii="Times New Roman" w:cs="Times New Roman" w:eastAsia="Times New Roman" w:hAnsi="Times New Roman"/>
          <w:color w:val="000000"/>
          <w:sz w:val="24"/>
          <w:szCs w:val="24"/>
          <w:rtl w:val="0"/>
        </w:rPr>
        <w:t xml:space="preserve"> Cerrahi Hastalıkları, İç hastalıkları, Kadın Sağlığı ve Doğum ve Çocuk Sağlığı ve Hastalıkları Hemşireliği alanlarından en az birinde bakım ve tedavi sunan, en az 100 ve üzeri yatak kapasitesine sahip, eğitim veya genel hastane statüsünde olan ve tercihen akredite edilmiş sağlık kurumlarında, NHS 405 Yaz Stajı dersi kapsamında yaz döneminde ardışık 21 iş günü yapılan uygulamayı,</w:t>
      </w:r>
    </w:p>
    <w:p w:rsidR="00000000" w:rsidDel="00000000" w:rsidP="00000000" w:rsidRDefault="00000000" w:rsidRPr="00000000" w14:paraId="00000017">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4.4. İntörnlük Uygulaması:</w:t>
      </w:r>
      <w:r w:rsidDel="00000000" w:rsidR="00000000" w:rsidRPr="00000000">
        <w:rPr>
          <w:rFonts w:ascii="Times New Roman" w:cs="Times New Roman" w:eastAsia="Times New Roman" w:hAnsi="Times New Roman"/>
          <w:sz w:val="24"/>
          <w:szCs w:val="24"/>
          <w:rtl w:val="0"/>
        </w:rPr>
        <w:t xml:space="preserve"> Hemşirelik Bölümü’nde mesleki derslerini tamamlayan öğrencinin NHS 402 Klinik Çalışma dersi kapsamında bölüm tarafından belirlenen ve İl Sağlık Müdürlüğü’ne bağlı kurumlarda ya da özel hastanelerde haftada 3 iş günü ve akademik takvim doğrultusunda toplam 14/15 hafta yapılan uygulamayı,</w:t>
      </w:r>
    </w:p>
    <w:p w:rsidR="00000000" w:rsidDel="00000000" w:rsidP="00000000" w:rsidRDefault="00000000" w:rsidRPr="00000000" w14:paraId="00000018">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4.5. Dış paydaş</w:t>
      </w:r>
      <w:r w:rsidDel="00000000" w:rsidR="00000000" w:rsidRPr="00000000">
        <w:rPr>
          <w:rFonts w:ascii="Times New Roman" w:cs="Times New Roman" w:eastAsia="Times New Roman" w:hAnsi="Times New Roman"/>
          <w:sz w:val="24"/>
          <w:szCs w:val="24"/>
          <w:rtl w:val="0"/>
        </w:rPr>
        <w:t xml:space="preserve">: İl Sağlık Müdürlüğü’ne bağlı sağlık hizmeti veren kurumlarında, özel hastanelerde, huzurevlerinde, yaşlı ve evde bakım merkezlerinde, vakıflar/derneklerde, eğitim ve özel eğitim kurumlarında, fabrika ve iş yerlerinde çalışan hemşireleri, yöneticileri, işverenleri ve/veya Yeditepe Üniversitesi Hemşirelik Bölümü mezunlarını, </w:t>
      </w:r>
    </w:p>
    <w:p w:rsidR="00000000" w:rsidDel="00000000" w:rsidP="00000000" w:rsidRDefault="00000000" w:rsidRPr="00000000" w14:paraId="00000019">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4.6. Öğretim Elemanı: </w:t>
      </w:r>
      <w:r w:rsidDel="00000000" w:rsidR="00000000" w:rsidRPr="00000000">
        <w:rPr>
          <w:rFonts w:ascii="Times New Roman" w:cs="Times New Roman" w:eastAsia="Times New Roman" w:hAnsi="Times New Roman"/>
          <w:sz w:val="24"/>
          <w:szCs w:val="24"/>
          <w:rtl w:val="0"/>
        </w:rPr>
        <w:t xml:space="preserve">Akademik dönemlere uygun haftalık ders programında o dersin yürütülmesinden sorumlu öğretim elemanını,</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4.7. Klinik Öğretim Elemanı: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Dersin sorumlu öğretim üyesi/elemanı ile koordineli bir şekilde belirlenen uygulama alanlarında öğrenci hemşire ile birebir çalışan,</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klinik uygulama hedeflerinin uygulanması, yürütülmesi ve değerlendirilmesinden sorumlu olan dersin öğretim elemanı, araştırma görevlisi.</w:t>
      </w:r>
    </w:p>
    <w:p w:rsidR="00000000" w:rsidDel="00000000" w:rsidP="00000000" w:rsidRDefault="00000000" w:rsidRPr="00000000" w14:paraId="0000001B">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4.8. Klinik Rehber Hemşire: </w:t>
      </w:r>
      <w:r w:rsidDel="00000000" w:rsidR="00000000" w:rsidRPr="00000000">
        <w:rPr>
          <w:rFonts w:ascii="Times New Roman" w:cs="Times New Roman" w:eastAsia="Times New Roman" w:hAnsi="Times New Roman"/>
          <w:sz w:val="24"/>
          <w:szCs w:val="24"/>
          <w:rtl w:val="0"/>
        </w:rPr>
        <w:t xml:space="preserve">Klinik uygulama alanında çalışan, öğrencinin öğrenmesini kolaylaştıran, mesleki gelişimini destekleyen, öğrenciyi değerlendiren, Klinik Rehber Hemşire Eğitimi programını başarı ile tamamlayan klinik eğitim hemşiresi ya da sorumlu hemşireyi ifade eder.</w:t>
      </w:r>
    </w:p>
    <w:p w:rsidR="00000000" w:rsidDel="00000000" w:rsidP="00000000" w:rsidRDefault="00000000" w:rsidRPr="00000000" w14:paraId="0000001C">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İKİNCİ BÖLÜM</w:t>
      </w:r>
    </w:p>
    <w:p w:rsidR="00000000" w:rsidDel="00000000" w:rsidP="00000000" w:rsidRDefault="00000000" w:rsidRPr="00000000" w14:paraId="0000001E">
      <w:pPr>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KOMİSYONUN YAPISI, ÇALIŞMA ESASLARI VE GÖREVLERİ</w:t>
      </w:r>
    </w:p>
    <w:p w:rsidR="00000000" w:rsidDel="00000000" w:rsidP="00000000" w:rsidRDefault="00000000" w:rsidRPr="00000000" w14:paraId="0000001F">
      <w:pPr>
        <w:ind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KOMİSYONUN YAPISI</w:t>
      </w:r>
    </w:p>
    <w:p w:rsidR="00000000" w:rsidDel="00000000" w:rsidP="00000000" w:rsidRDefault="00000000" w:rsidRPr="00000000" w14:paraId="00000020">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5: </w:t>
      </w:r>
      <w:r w:rsidDel="00000000" w:rsidR="00000000" w:rsidRPr="00000000">
        <w:rPr>
          <w:rFonts w:ascii="Times New Roman" w:cs="Times New Roman" w:eastAsia="Times New Roman" w:hAnsi="Times New Roman"/>
          <w:sz w:val="24"/>
          <w:szCs w:val="24"/>
          <w:rtl w:val="0"/>
        </w:rPr>
        <w:t xml:space="preserve">Bu maddede komisyonun yapısı belirtilmiştir.</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pos="1418"/>
        </w:tabs>
        <w:spacing w:after="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5.1.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Laboratuvar ve Klinik Uygulama Komisyonu; Komisyon başkanı ile birlikte başkan yardımcısı, sekreter ve diğer üyeler olmak üzere en az 3 (üç) kişiden oluşur.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5.2.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Komisyon Başkanı üyeler tarafından seçilir. Komisyon Başkanının görev süresi 3 (üç) yıldır.</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b w:val="1"/>
          <w:color w:val="000000"/>
          <w:sz w:val="24"/>
          <w:szCs w:val="24"/>
          <w:rtl w:val="0"/>
        </w:rPr>
        <w:t xml:space="preserve">.2.1.</w:t>
      </w:r>
      <w:r w:rsidDel="00000000" w:rsidR="00000000" w:rsidRPr="00000000">
        <w:rPr>
          <w:rFonts w:ascii="Times New Roman" w:cs="Times New Roman" w:eastAsia="Times New Roman" w:hAnsi="Times New Roman"/>
          <w:color w:val="000000"/>
          <w:sz w:val="24"/>
          <w:szCs w:val="24"/>
          <w:rtl w:val="0"/>
        </w:rPr>
        <w:t xml:space="preserve"> Başkan, komisyonun işleyişini, gündemin oluşturulmasını ve yürütülmesini sağlar.</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b w:val="1"/>
          <w:color w:val="000000"/>
          <w:sz w:val="24"/>
          <w:szCs w:val="24"/>
          <w:rtl w:val="0"/>
        </w:rPr>
        <w:t xml:space="preserve">.2.2.</w:t>
      </w:r>
      <w:r w:rsidDel="00000000" w:rsidR="00000000" w:rsidRPr="00000000">
        <w:rPr>
          <w:rFonts w:ascii="Times New Roman" w:cs="Times New Roman" w:eastAsia="Times New Roman" w:hAnsi="Times New Roman"/>
          <w:color w:val="000000"/>
          <w:sz w:val="24"/>
          <w:szCs w:val="24"/>
          <w:rtl w:val="0"/>
        </w:rPr>
        <w:t xml:space="preserve"> Başkan yardımcısı, başkanın olmadığı durumlarda vekilen gündemin yürütülmesini sağlar.</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b w:val="1"/>
          <w:color w:val="000000"/>
          <w:sz w:val="24"/>
          <w:szCs w:val="24"/>
          <w:rtl w:val="0"/>
        </w:rPr>
        <w:t xml:space="preserve">.2.3.</w:t>
      </w:r>
      <w:r w:rsidDel="00000000" w:rsidR="00000000" w:rsidRPr="00000000">
        <w:rPr>
          <w:rFonts w:ascii="Times New Roman" w:cs="Times New Roman" w:eastAsia="Times New Roman" w:hAnsi="Times New Roman"/>
          <w:color w:val="000000"/>
          <w:sz w:val="24"/>
          <w:szCs w:val="24"/>
          <w:rtl w:val="0"/>
        </w:rPr>
        <w:t xml:space="preserve"> Sekreterler gerekli kayıtların alınmasını sağlar.</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5.3.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Laboratuvar ve Klinik Uygulama Komisyonu yılda en az 2 (iki) kez üye çoğunluğu ile toplanır ve alınan kararları raporlar. Olağan dışı durumlar dahilinde Komisyon başkanın çağrısı ile </w:t>
      </w:r>
      <w:r w:rsidDel="00000000" w:rsidR="00000000" w:rsidRPr="00000000">
        <w:rPr>
          <w:rFonts w:ascii="Times New Roman" w:cs="Times New Roman" w:eastAsia="Times New Roman" w:hAnsi="Times New Roman"/>
          <w:sz w:val="24"/>
          <w:szCs w:val="24"/>
          <w:rtl w:val="0"/>
        </w:rPr>
        <w:t xml:space="preserve">toplanabilir</w:t>
      </w:r>
      <w:r w:rsidDel="00000000" w:rsidR="00000000" w:rsidRPr="00000000">
        <w:rPr>
          <w:rFonts w:ascii="Times New Roman" w:cs="Times New Roman" w:eastAsia="Times New Roman" w:hAnsi="Times New Roman"/>
          <w:color w:val="000000"/>
          <w:sz w:val="24"/>
          <w:szCs w:val="24"/>
          <w:rtl w:val="0"/>
        </w:rPr>
        <w:t xml:space="preserve"> ve gerektiğinde hemşirelik anabilim dallarının ilgili öğretim elemanlarının katılımını sağlar. </w:t>
      </w:r>
      <w:r w:rsidDel="00000000" w:rsidR="00000000" w:rsidRPr="00000000">
        <w:rPr>
          <w:rFonts w:ascii="Times New Roman" w:cs="Times New Roman" w:eastAsia="Times New Roman" w:hAnsi="Times New Roman"/>
          <w:sz w:val="24"/>
          <w:szCs w:val="24"/>
          <w:rtl w:val="0"/>
        </w:rPr>
        <w:t xml:space="preserve">Komisyon, toplantıya katılan üyelerin oy birliği veya oy çokluğu ile karar alır.</w:t>
      </w:r>
      <w:r w:rsidDel="00000000" w:rsidR="00000000" w:rsidRPr="00000000">
        <w:rPr>
          <w:rtl w:val="0"/>
        </w:rPr>
      </w:r>
    </w:p>
    <w:p w:rsidR="00000000" w:rsidDel="00000000" w:rsidP="00000000" w:rsidRDefault="00000000" w:rsidRPr="00000000" w14:paraId="00000027">
      <w:pPr>
        <w:ind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ÇALIŞMA ESASLARI </w:t>
      </w:r>
    </w:p>
    <w:p w:rsidR="00000000" w:rsidDel="00000000" w:rsidP="00000000" w:rsidRDefault="00000000" w:rsidRPr="00000000" w14:paraId="00000028">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6: </w:t>
      </w:r>
      <w:r w:rsidDel="00000000" w:rsidR="00000000" w:rsidRPr="00000000">
        <w:rPr>
          <w:rFonts w:ascii="Times New Roman" w:cs="Times New Roman" w:eastAsia="Times New Roman" w:hAnsi="Times New Roman"/>
          <w:sz w:val="24"/>
          <w:szCs w:val="24"/>
          <w:rtl w:val="0"/>
        </w:rPr>
        <w:t xml:space="preserve">Bu maddede Laboratuvar ve Klinik Uygulama Komisyonu’nun çalışma esasları belirtilmiştir.</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709"/>
        </w:tabs>
        <w:spacing w:after="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6.1.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Laboratuvar ve Klinik Uygulama Komisyonu, Yeditepe Üniversitesi Sağlık Bilimleri Fakültesi Hemşirelik Bölümü’nde Hemşirelik anabilim dallarının ilgili öğretim elemanları ile koordineli olarak laboratuvar ve klinik uygulamaları planlama, yürütme ve düzenleme organı olarak görev yapar.</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6.2.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Komisyon eğitim ve öğretim sürecinde kazanılan bilgilerin program ilke ve esaslarını koruyarak laboratuvar ve  klinik uygulamaya nitelikli bir şekilde aktarılmasını hedefler.</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6.3.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Akademik birimlerden, tüm kurul, komisyon ve ilgili tutanaklardan gelen konuları inceler, değerlendirir, iyileştirme yapabilir ve gerekli durumlarda alınan kararları üst kurul ve komisyonlara raporlar. Ayrıca kendi içinde çözemediği konuların değerlendirilmesi için Akreditasyon Kurulu’na başvurur.</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before="0" w:lineRule="auto"/>
        <w:ind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D">
      <w:pPr>
        <w:ind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KOMİSYONUN GÖREVLERİ</w:t>
      </w:r>
    </w:p>
    <w:p w:rsidR="00000000" w:rsidDel="00000000" w:rsidP="00000000" w:rsidRDefault="00000000" w:rsidRPr="00000000" w14:paraId="0000002E">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7: </w:t>
      </w:r>
      <w:r w:rsidDel="00000000" w:rsidR="00000000" w:rsidRPr="00000000">
        <w:rPr>
          <w:rFonts w:ascii="Times New Roman" w:cs="Times New Roman" w:eastAsia="Times New Roman" w:hAnsi="Times New Roman"/>
          <w:sz w:val="24"/>
          <w:szCs w:val="24"/>
          <w:rtl w:val="0"/>
        </w:rPr>
        <w:t xml:space="preserve">Bu maddede Laboratuvar ve Klinik Uygulama Komisyonu’nun görevleri belirtilmiştir.</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7.1.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Laboratuvar ve Klinik Uygulama Komisyonu, Yeditepe Üniversitesi Sağlık Bilimleri Fakültesi Hemşirelik Bölümü ilkeleri doğrultusunda Hemşirelik Anabilim Dallarının ilgili ders öğretim elemanları ile koordineli olarak klinik uygulama süreç ve işlemlerinin planlanması, düzenlenmesi ve yürütülmesinden sorumludur. Ayrıca komisyon klinik uygulama/staja katılan öğrencilerin yaşadıkları konularla ilgili danışacakları bir üst kurul olarak çalışır.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7.2.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Komisyon her eğitim öğretim yılında üniversitenin belirlediği akademik takvime uygun olarak klinik uygulama tarihlerini belirler. </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7.3.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İlgili eğitim öğretim yılında klinik uygulamaya çıkacak öğrencileri belirler. Belirlenen öğrenci sayısına göre İl Sağlık Müdürlüğü, özel sağlık kurumları ve ilgili dış paydaşlar ile görüşerek gerekli klinik uygulama/staj planlamalarını yapar.</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7.4.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Yaz dönemi klinik uygulama/stajları İstanbul ili dışında da yapılabileceğinden, öğrencilerin belirledikleri alanların, öğretim programlarının amaçlarına uygun olup olmadığını dersin sorumlu öğretim elemanı ile birlikte değerlendirir.</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7.5.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Öğrencilerin klinik uygulama/staj yapacakları kurumları dersin öğretim elemanı ile koordineli olarak belirler, ilgili yazışmaları başlatır ve sürdürür.</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7.6.</w:t>
      </w:r>
      <w:r w:rsidDel="00000000" w:rsidR="00000000" w:rsidRPr="00000000">
        <w:rPr>
          <w:rFonts w:ascii="Times New Roman" w:cs="Times New Roman" w:eastAsia="Times New Roman" w:hAnsi="Times New Roman"/>
          <w:color w:val="000000"/>
          <w:sz w:val="24"/>
          <w:szCs w:val="24"/>
          <w:rtl w:val="0"/>
        </w:rPr>
        <w:t xml:space="preserve"> Öğrencilerin uygun kliniklere yerleştirilmesi ve rotasyonu; ders öğretim elemanı, eğitim hemşireleri ve klinik rehber hemşireleri işbirliği ile yürütülür.</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7.7.</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Klinik uygulama/staj yapacak öğrencilerin Sosyal Güvenlik Kurumu (SGK) girişlerini Yeditepe Üniversitesi İnsan Kaynakları birimi ile yürütür. İş Sağlığı ve Meslek Hastalıkları Sigorta süreci ile ilgili gerekli belgeleri duyurur, toplar ve tüm süreci takip eder.</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7.8.</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Laboratuvar ve klinik uygulamalar sırasında meydana gelen yaralanmalar durumunda öğrenciyi ilgili birimlere yönlendirir, İş Sağlığı ve Güvenliği Birimi ile iş birliği yaparak sürecin takibini sağlar ve yaralanma istatistiklerini belirlenen aralıklarla İyileştirme ve Geliştirme Komisyonu’na raporlar. </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7.9.</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Komisyon; ‘Klinik Uygulama/Staj Devam Formu’, ‘Uygulama Değerlendirme Formu’, ‘Sağlık Hizmeti Alan Birey Memnuniyet Anketi’, ‘Laboratuvar Ortamı Öğrenci Geri Bildirim Formu’ ve ‘Klinik Eğitim Ortamı Öğrenci Geri Bildirim Formu’nu hazırlar ve gerekli durumlarda revize eder. </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7.10.</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İlgili derse ait Klinik uygulama/staj sürecinde ‘Sağlık Hizmeti Alan Birey Memnuniyet Anketi’nin doldurulmasını sağlar, verileri raporlandırmak üzere Öğrenci ve Mezun Komisyonu’na iletir. </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7.11.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‘Laboratuvar Ortamı Öğrenci Geri Bildirim Formu’ ve ‘Klinik Eğitim Ortamı Öğrenci Geri Bildirim Formu’nun doldurulmasını sağlar, elde edilen verileri değerlendirir, her akademik yılın sonunda İyileştirme ve Geliştirme Komisyonu’na raporlar.</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7.12.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Klinik uygulama/staj yapılacak kurumlar tarafından görevlendirilecek klinik rehber hemşirelerini belirler, belli aralıklarla Klinik Rehber Hemşire Eğitim programını planlar ve uygular.</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7.13.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Çift Anadal (ÇAP) ve Yan Dal, Dikey-Yatay Geçiş yapan öğrenciler ve Erasmus programıyla klinik uygulama yapmak için gelen öğrencilerin bilgileri, klinik uygulamaların zamanında planlanabilmesi için Eğitim Öğretim ve Müfredat Komisyonu’ndan istenir ve ‘</w:t>
      </w:r>
      <w:r w:rsidDel="00000000" w:rsidR="00000000" w:rsidRPr="00000000">
        <w:rPr>
          <w:rFonts w:ascii="Times New Roman" w:cs="Times New Roman" w:eastAsia="Times New Roman" w:hAnsi="Times New Roman"/>
          <w:sz w:val="24"/>
          <w:szCs w:val="24"/>
          <w:rtl w:val="0"/>
        </w:rPr>
        <w:t xml:space="preserve">Çift Anadal, Yandal, Yatay ve Dikey Geçiş, Öğrenci Değişim Programları Yönergesi’n</w:t>
      </w:r>
      <w:r w:rsidDel="00000000" w:rsidR="00000000" w:rsidRPr="00000000">
        <w:rPr>
          <w:rFonts w:ascii="Times New Roman" w:cs="Times New Roman" w:eastAsia="Times New Roman" w:hAnsi="Times New Roman"/>
          <w:color w:val="000000"/>
          <w:sz w:val="24"/>
          <w:szCs w:val="24"/>
          <w:rtl w:val="0"/>
        </w:rPr>
        <w:t xml:space="preserve">de belirtilen esaslara uygun şekilde yürütülür.</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7.14.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Yatay-dikey geçiş ve öğrenci değişim programları kapsamındaki öğrencilerin klinik/staj uygulamaları sırasında yaşadıkları sorunları değerlendirir, Uluslararası Ofis ve Hemşirelik Bölümü Erasmus Koordinatörü</w:t>
      </w:r>
      <w:r w:rsidDel="00000000" w:rsidR="00000000" w:rsidRPr="00000000">
        <w:rPr>
          <w:rFonts w:ascii="Times New Roman" w:cs="Times New Roman" w:eastAsia="Times New Roman" w:hAnsi="Times New Roman"/>
          <w:sz w:val="24"/>
          <w:szCs w:val="24"/>
          <w:rtl w:val="0"/>
        </w:rPr>
        <w:t xml:space="preserve">’ne iletir.</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7.15.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Komisyon, laboratuvarın düzenlenmesinde görev dağılımını yapar. Gerekli düzenlemelerin yapılması için laboratuvar sorumlusu ile koordinasyonu sağlar. </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7.16.</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Laboratuvar kullanım kuralları “Laboratuvar ve Klinik Uygulama Yönergesi” formunda belirtilmiştir. Her dönem laboratuvar uygulaması öncesinde kuralların tüm öğrencilere ulaşmasını sağlar. </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7.17.</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Komisyon ihtiyaç halinde diğer komisyonlara veya Akreditasyon Kurulu’na danışır.</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7.18.</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Akreditasyon Kurulu’nun verdiği diğer görevleri gerçekleştirir.</w:t>
      </w:r>
      <w:r w:rsidDel="00000000" w:rsidR="00000000" w:rsidRPr="00000000">
        <w:rPr>
          <w:rtl w:val="0"/>
        </w:rPr>
      </w:r>
    </w:p>
    <w:p w:rsidR="00000000" w:rsidDel="00000000" w:rsidP="00000000" w:rsidRDefault="00000000" w:rsidRPr="00000000" w14:paraId="00000041">
      <w:pPr>
        <w:ind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ÜÇÜNCÜ BÖLÜM</w:t>
      </w:r>
    </w:p>
    <w:p w:rsidR="00000000" w:rsidDel="00000000" w:rsidP="00000000" w:rsidRDefault="00000000" w:rsidRPr="00000000" w14:paraId="00000043">
      <w:pPr>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HÜKÜM BULUNMAYAN DURUMLAR</w:t>
      </w:r>
    </w:p>
    <w:p w:rsidR="00000000" w:rsidDel="00000000" w:rsidP="00000000" w:rsidRDefault="00000000" w:rsidRPr="00000000" w14:paraId="00000044">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8: </w:t>
      </w:r>
      <w:r w:rsidDel="00000000" w:rsidR="00000000" w:rsidRPr="00000000">
        <w:rPr>
          <w:rFonts w:ascii="Times New Roman" w:cs="Times New Roman" w:eastAsia="Times New Roman" w:hAnsi="Times New Roman"/>
          <w:sz w:val="24"/>
          <w:szCs w:val="24"/>
          <w:rtl w:val="0"/>
        </w:rPr>
        <w:t xml:space="preserve">Bu Laboratuvar ve Klinik Uygulama Komisyonu Yönergesinde usul ve esaslarda hüküm bulunmayan hallerde Akreditasyon Kurulu’na danışılır ve nihai karar Akreditasyon Kurulu tarafınca belirlenir.</w:t>
      </w:r>
    </w:p>
    <w:p w:rsidR="00000000" w:rsidDel="00000000" w:rsidP="00000000" w:rsidRDefault="00000000" w:rsidRPr="00000000" w14:paraId="00000045">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DÖRDÜNCÜ BÖLÜM</w:t>
      </w:r>
    </w:p>
    <w:p w:rsidR="00000000" w:rsidDel="00000000" w:rsidP="00000000" w:rsidRDefault="00000000" w:rsidRPr="00000000" w14:paraId="00000047">
      <w:pPr>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 HÜKÜMLER</w:t>
      </w:r>
    </w:p>
    <w:p w:rsidR="00000000" w:rsidDel="00000000" w:rsidP="00000000" w:rsidRDefault="00000000" w:rsidRPr="00000000" w14:paraId="00000048">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9: </w:t>
      </w:r>
      <w:r w:rsidDel="00000000" w:rsidR="00000000" w:rsidRPr="00000000">
        <w:rPr>
          <w:rFonts w:ascii="Times New Roman" w:cs="Times New Roman" w:eastAsia="Times New Roman" w:hAnsi="Times New Roman"/>
          <w:sz w:val="24"/>
          <w:szCs w:val="24"/>
          <w:rtl w:val="0"/>
        </w:rPr>
        <w:t xml:space="preserve">Bu Laboratuvar ve Klinik Uygulama Komisyonu Yönergesi,  Yeditepe Üniversitesi Sağlık Bilimleri Fakültesi Dekanı onayı ile yürürlüğe girer.</w:t>
      </w:r>
    </w:p>
    <w:p w:rsidR="00000000" w:rsidDel="00000000" w:rsidP="00000000" w:rsidRDefault="00000000" w:rsidRPr="00000000" w14:paraId="00000049">
      <w:pPr>
        <w:ind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10: </w:t>
      </w:r>
      <w:r w:rsidDel="00000000" w:rsidR="00000000" w:rsidRPr="00000000">
        <w:rPr>
          <w:rFonts w:ascii="Times New Roman" w:cs="Times New Roman" w:eastAsia="Times New Roman" w:hAnsi="Times New Roman"/>
          <w:sz w:val="24"/>
          <w:szCs w:val="24"/>
          <w:rtl w:val="0"/>
        </w:rPr>
        <w:t xml:space="preserve">Bu yönerge üzerindeki değişiklik önerileri Eğitim Öğretim ve Müfredat Komisyonu tarafından Akreditasyon Kurulu’na sunulur, hazırlanan öneriler kurul tarafından karara bağlanır.</w:t>
      </w:r>
      <w:r w:rsidDel="00000000" w:rsidR="00000000" w:rsidRPr="00000000">
        <w:rPr>
          <w:rtl w:val="0"/>
        </w:rPr>
      </w:r>
    </w:p>
    <w:p w:rsidR="00000000" w:rsidDel="00000000" w:rsidP="00000000" w:rsidRDefault="00000000" w:rsidRPr="00000000" w14:paraId="0000004A">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11: </w:t>
      </w:r>
      <w:r w:rsidDel="00000000" w:rsidR="00000000" w:rsidRPr="00000000">
        <w:rPr>
          <w:rFonts w:ascii="Times New Roman" w:cs="Times New Roman" w:eastAsia="Times New Roman" w:hAnsi="Times New Roman"/>
          <w:sz w:val="24"/>
          <w:szCs w:val="24"/>
          <w:rtl w:val="0"/>
        </w:rPr>
        <w:t xml:space="preserve">Bu yönerge Yeditepe Üniversitesi, Hemşirelik Bölüm Başkanı tarafından yürütülür.</w:t>
      </w:r>
    </w:p>
    <w:p w:rsidR="00000000" w:rsidDel="00000000" w:rsidP="00000000" w:rsidRDefault="00000000" w:rsidRPr="00000000" w14:paraId="0000004B">
      <w:pPr>
        <w:ind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ind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Hemşirelik  Bölümü Laboratuvar ve Klinik Uygulama  Komisyonu</w:t>
      </w:r>
    </w:p>
    <w:p w:rsidR="00000000" w:rsidDel="00000000" w:rsidP="00000000" w:rsidRDefault="00000000" w:rsidRPr="00000000" w14:paraId="0000004D">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Öğr. Üyesi Aylin AKÇA SÜMENGEN, Başkan</w:t>
      </w:r>
    </w:p>
    <w:p w:rsidR="00000000" w:rsidDel="00000000" w:rsidP="00000000" w:rsidRDefault="00000000" w:rsidRPr="00000000" w14:paraId="0000004E">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Arş. Gör. Ayşenur KELEŞ, Sekreter</w:t>
      </w:r>
    </w:p>
    <w:p w:rsidR="00000000" w:rsidDel="00000000" w:rsidP="00000000" w:rsidRDefault="00000000" w:rsidRPr="00000000" w14:paraId="0000004F">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Dr. Şenay UZUN, Üye</w:t>
      </w:r>
    </w:p>
    <w:p w:rsidR="00000000" w:rsidDel="00000000" w:rsidP="00000000" w:rsidRDefault="00000000" w:rsidRPr="00000000" w14:paraId="00000050">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Doç. Dr. Filiz ARSLAN, Üye (ücretsiz izin)</w:t>
      </w:r>
    </w:p>
    <w:p w:rsidR="00000000" w:rsidDel="00000000" w:rsidP="00000000" w:rsidRDefault="00000000" w:rsidRPr="00000000" w14:paraId="00000051">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Arş. Gör. Ceren ZEREN, Üye</w:t>
      </w:r>
    </w:p>
    <w:p w:rsidR="00000000" w:rsidDel="00000000" w:rsidP="00000000" w:rsidRDefault="00000000" w:rsidRPr="00000000" w14:paraId="00000052">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Arş. Gör. Şerife KELLE DİKBAŞ, Üye</w:t>
      </w:r>
    </w:p>
    <w:p w:rsidR="00000000" w:rsidDel="00000000" w:rsidP="00000000" w:rsidRDefault="00000000" w:rsidRPr="00000000" w14:paraId="00000053">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Uzm. Hem. Tuğçe ATAK MERİÇ, Üye (ücretsiz izin)</w:t>
      </w:r>
    </w:p>
    <w:p w:rsidR="00000000" w:rsidDel="00000000" w:rsidP="00000000" w:rsidRDefault="00000000" w:rsidRPr="00000000" w14:paraId="00000054">
      <w:pPr>
        <w:spacing w:after="160" w:before="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Lisans Öğrencisi Gamze Gülbahar Cömez, Üye</w:t>
      </w:r>
    </w:p>
    <w:p w:rsidR="00000000" w:rsidDel="00000000" w:rsidP="00000000" w:rsidRDefault="00000000" w:rsidRPr="00000000" w14:paraId="00000055">
      <w:pPr>
        <w:spacing w:after="160" w:before="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Lisans Öğrencisi Merve Karatekin, Üye</w:t>
      </w:r>
    </w:p>
    <w:p w:rsidR="00000000" w:rsidDel="00000000" w:rsidP="00000000" w:rsidRDefault="00000000" w:rsidRPr="00000000" w14:paraId="00000056">
      <w:pPr>
        <w:spacing w:after="160" w:before="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Lisans Öğrencisi Nursu Balıkçı, Üye</w:t>
      </w:r>
    </w:p>
    <w:p w:rsidR="00000000" w:rsidDel="00000000" w:rsidP="00000000" w:rsidRDefault="00000000" w:rsidRPr="00000000" w14:paraId="00000057">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ind w:firstLine="0"/>
        <w:rPr>
          <w:rFonts w:ascii="Times New Roman" w:cs="Times New Roman" w:eastAsia="Times New Roman" w:hAnsi="Times New Roman"/>
          <w:sz w:val="24"/>
          <w:szCs w:val="24"/>
        </w:rPr>
      </w:pPr>
      <w:r w:rsidDel="00000000" w:rsidR="00000000" w:rsidRPr="00000000">
        <w:rPr>
          <w:rtl w:val="0"/>
        </w:rPr>
      </w:r>
    </w:p>
    <w:sectPr>
      <w:headerReference r:id="rId7" w:type="default"/>
      <w:pgSz w:h="16838" w:w="11906" w:orient="portrait"/>
      <w:pgMar w:bottom="1418" w:top="1134" w:left="1133" w:right="1418" w:header="397" w:footer="73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Tahoma">
    <w:embedRegular w:fontKey="{00000000-0000-0000-0000-000000000000}" r:id="rId1" w:subsetted="0"/>
    <w:embedBold w:fontKey="{00000000-0000-0000-0000-000000000000}" r:id="rId2"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after="0" w:before="0" w:line="276" w:lineRule="auto"/>
      <w:ind w:firstLine="0"/>
      <w:jc w:val="left"/>
      <w:rPr>
        <w:rFonts w:ascii="Times New Roman" w:cs="Times New Roman" w:eastAsia="Times New Roman" w:hAnsi="Times New Roman"/>
        <w:sz w:val="18"/>
        <w:szCs w:val="18"/>
      </w:rPr>
    </w:pPr>
    <w:r w:rsidDel="00000000" w:rsidR="00000000" w:rsidRPr="00000000">
      <w:rPr>
        <w:rtl w:val="0"/>
      </w:rPr>
    </w:r>
  </w:p>
  <w:tbl>
    <w:tblPr>
      <w:tblStyle w:val="Table1"/>
      <w:tblW w:w="11407.0" w:type="dxa"/>
      <w:jc w:val="left"/>
      <w:tblInd w:w="-8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5"/>
      <w:gridCol w:w="5245"/>
      <w:gridCol w:w="1701"/>
      <w:gridCol w:w="2476"/>
      <w:tblGridChange w:id="0">
        <w:tblGrid>
          <w:gridCol w:w="1985"/>
          <w:gridCol w:w="5245"/>
          <w:gridCol w:w="1701"/>
          <w:gridCol w:w="2476"/>
        </w:tblGrid>
      </w:tblGridChange>
    </w:tblGrid>
    <w:tr>
      <w:trPr>
        <w:cantSplit w:val="0"/>
        <w:trHeight w:val="273" w:hRule="atLeast"/>
        <w:tblHeader w:val="0"/>
      </w:trPr>
      <w:tc>
        <w:tcPr>
          <w:vMerge w:val="restart"/>
          <w:vAlign w:val="center"/>
        </w:tcPr>
        <w:p w:rsidR="00000000" w:rsidDel="00000000" w:rsidP="00000000" w:rsidRDefault="00000000" w:rsidRPr="00000000" w14:paraId="0000005B">
          <w:pPr>
            <w:spacing w:after="0" w:before="0" w:line="240" w:lineRule="auto"/>
            <w:ind w:right="360" w:firstLine="0"/>
            <w:jc w:val="left"/>
            <w:rPr>
              <w:rFonts w:ascii="Tahoma" w:cs="Tahoma" w:eastAsia="Tahoma" w:hAnsi="Tahoma"/>
              <w:b w:val="1"/>
            </w:rPr>
          </w:pPr>
          <w:r w:rsidDel="00000000" w:rsidR="00000000" w:rsidRPr="00000000">
            <w:rPr>
              <w:rtl w:val="0"/>
            </w:rPr>
          </w:r>
        </w:p>
        <w:p w:rsidR="00000000" w:rsidDel="00000000" w:rsidP="00000000" w:rsidRDefault="00000000" w:rsidRPr="00000000" w14:paraId="0000005C">
          <w:pPr>
            <w:spacing w:after="0" w:before="0" w:line="240" w:lineRule="auto"/>
            <w:ind w:firstLine="0"/>
            <w:jc w:val="left"/>
            <w:rPr>
              <w:rFonts w:ascii="Tahoma" w:cs="Tahoma" w:eastAsia="Tahoma" w:hAnsi="Tahoma"/>
              <w:b w:val="1"/>
            </w:rPr>
          </w:pPr>
          <w:r w:rsidDel="00000000" w:rsidR="00000000" w:rsidRPr="00000000">
            <w:rPr>
              <w:rFonts w:ascii="Tahoma" w:cs="Tahoma" w:eastAsia="Tahoma" w:hAnsi="Tahoma"/>
              <w:b w:val="1"/>
            </w:rPr>
            <w:drawing>
              <wp:inline distB="0" distT="0" distL="0" distR="0">
                <wp:extent cx="1173480" cy="621030"/>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73480" cy="621030"/>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spacing w:after="0" w:before="0" w:line="240" w:lineRule="auto"/>
            <w:ind w:firstLine="0"/>
            <w:jc w:val="left"/>
            <w:rPr>
              <w:rFonts w:ascii="Tahoma" w:cs="Tahoma" w:eastAsia="Tahoma" w:hAnsi="Tahoma"/>
              <w:b w:val="1"/>
            </w:rPr>
          </w:pPr>
          <w:r w:rsidDel="00000000" w:rsidR="00000000" w:rsidRPr="00000000">
            <w:rPr>
              <w:rtl w:val="0"/>
            </w:rPr>
          </w:r>
        </w:p>
      </w:tc>
      <w:tc>
        <w:tcPr>
          <w:vMerge w:val="restart"/>
          <w:vAlign w:val="center"/>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ffffff" w:val="clear"/>
            <w:spacing w:after="0" w:before="0" w:line="240" w:lineRule="auto"/>
            <w:ind w:firstLine="0"/>
            <w:jc w:val="center"/>
            <w:rPr>
              <w:rFonts w:ascii="Times New Roman" w:cs="Times New Roman" w:eastAsia="Times New Roman" w:hAnsi="Times New Roman"/>
              <w:color w:val="1e1e1e"/>
              <w:sz w:val="24"/>
              <w:szCs w:val="24"/>
            </w:rPr>
          </w:pPr>
          <w:r w:rsidDel="00000000" w:rsidR="00000000" w:rsidRPr="00000000">
            <w:rPr>
              <w:rFonts w:ascii="Times New Roman" w:cs="Times New Roman" w:eastAsia="Times New Roman" w:hAnsi="Times New Roman"/>
              <w:b w:val="1"/>
              <w:color w:val="1e1e1e"/>
              <w:sz w:val="24"/>
              <w:szCs w:val="24"/>
              <w:rtl w:val="0"/>
            </w:rPr>
            <w:t xml:space="preserve">YEDİTEPE ÜNİVERSİTESİ</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ffffff" w:val="clear"/>
            <w:spacing w:after="0" w:before="0" w:line="240" w:lineRule="auto"/>
            <w:ind w:firstLine="0"/>
            <w:jc w:val="center"/>
            <w:rPr>
              <w:rFonts w:ascii="Times New Roman" w:cs="Times New Roman" w:eastAsia="Times New Roman" w:hAnsi="Times New Roman"/>
              <w:color w:val="1e1e1e"/>
              <w:sz w:val="24"/>
              <w:szCs w:val="24"/>
            </w:rPr>
          </w:pPr>
          <w:r w:rsidDel="00000000" w:rsidR="00000000" w:rsidRPr="00000000">
            <w:rPr>
              <w:rFonts w:ascii="Times New Roman" w:cs="Times New Roman" w:eastAsia="Times New Roman" w:hAnsi="Times New Roman"/>
              <w:b w:val="1"/>
              <w:color w:val="1e1e1e"/>
              <w:sz w:val="24"/>
              <w:szCs w:val="24"/>
              <w:rtl w:val="0"/>
            </w:rPr>
            <w:t xml:space="preserve">SAĞLIK BİLİMLERİ FAKÜLTESİ</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ffffff" w:val="clear"/>
            <w:spacing w:after="0" w:before="0" w:line="240" w:lineRule="auto"/>
            <w:ind w:firstLine="0"/>
            <w:jc w:val="center"/>
            <w:rPr>
              <w:rFonts w:ascii="Times New Roman" w:cs="Times New Roman" w:eastAsia="Times New Roman" w:hAnsi="Times New Roman"/>
              <w:color w:val="1e1e1e"/>
              <w:sz w:val="24"/>
              <w:szCs w:val="24"/>
            </w:rPr>
          </w:pPr>
          <w:r w:rsidDel="00000000" w:rsidR="00000000" w:rsidRPr="00000000">
            <w:rPr>
              <w:rFonts w:ascii="Times New Roman" w:cs="Times New Roman" w:eastAsia="Times New Roman" w:hAnsi="Times New Roman"/>
              <w:b w:val="1"/>
              <w:color w:val="1e1e1e"/>
              <w:sz w:val="24"/>
              <w:szCs w:val="24"/>
              <w:rtl w:val="0"/>
            </w:rPr>
            <w:t xml:space="preserve">HEMŞİRELİK BÖLÜMÜ</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ffffff" w:val="clear"/>
            <w:spacing w:after="0" w:before="0" w:line="240" w:lineRule="auto"/>
            <w:ind w:firstLine="0"/>
            <w:jc w:val="center"/>
            <w:rPr>
              <w:rFonts w:ascii="Times New Roman" w:cs="Times New Roman" w:eastAsia="Times New Roman" w:hAnsi="Times New Roman"/>
              <w:b w:val="1"/>
              <w:color w:val="1e1e1e"/>
              <w:sz w:val="24"/>
              <w:szCs w:val="24"/>
            </w:rPr>
          </w:pPr>
          <w:r w:rsidDel="00000000" w:rsidR="00000000" w:rsidRPr="00000000">
            <w:rPr>
              <w:rFonts w:ascii="Times New Roman" w:cs="Times New Roman" w:eastAsia="Times New Roman" w:hAnsi="Times New Roman"/>
              <w:b w:val="1"/>
              <w:color w:val="1e1e1e"/>
              <w:sz w:val="24"/>
              <w:szCs w:val="24"/>
              <w:rtl w:val="0"/>
            </w:rPr>
            <w:t xml:space="preserve">LABORATUVAR VE KLİNİK UYGULAMA KOMİSYONU YÖNERGESİ</w:t>
          </w:r>
        </w:p>
      </w:tc>
      <w:tc>
        <w:tcPr>
          <w:vAlign w:val="center"/>
        </w:tcPr>
        <w:p w:rsidR="00000000" w:rsidDel="00000000" w:rsidP="00000000" w:rsidRDefault="00000000" w:rsidRPr="00000000" w14:paraId="00000062">
          <w:pPr>
            <w:tabs>
              <w:tab w:val="left" w:pos="2056"/>
              <w:tab w:val="left" w:pos="2536"/>
            </w:tabs>
            <w:spacing w:after="0" w:before="60" w:line="240" w:lineRule="auto"/>
            <w:ind w:firstLine="0"/>
            <w:jc w:val="left"/>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Doküman No</w:t>
          </w:r>
        </w:p>
      </w:tc>
      <w:tc>
        <w:tcPr>
          <w:vAlign w:val="center"/>
        </w:tcPr>
        <w:p w:rsidR="00000000" w:rsidDel="00000000" w:rsidP="00000000" w:rsidRDefault="00000000" w:rsidRPr="00000000" w14:paraId="00000063">
          <w:pPr>
            <w:tabs>
              <w:tab w:val="left" w:pos="2056"/>
              <w:tab w:val="left" w:pos="2536"/>
            </w:tabs>
            <w:spacing w:after="0" w:before="60" w:line="240" w:lineRule="auto"/>
            <w:ind w:firstLine="0"/>
            <w:jc w:val="left"/>
            <w:rPr>
              <w:rFonts w:ascii="Arial" w:cs="Arial" w:eastAsia="Arial" w:hAnsi="Arial"/>
              <w:sz w:val="20"/>
              <w:szCs w:val="20"/>
            </w:rPr>
          </w:pPr>
          <w:r w:rsidDel="00000000" w:rsidR="00000000" w:rsidRPr="00000000">
            <w:rPr>
              <w:rtl w:val="0"/>
            </w:rPr>
          </w:r>
        </w:p>
      </w:tc>
    </w:tr>
    <w:tr>
      <w:trPr>
        <w:cantSplit w:val="0"/>
        <w:trHeight w:val="265" w:hRule="atLeast"/>
        <w:tblHeader w:val="0"/>
      </w:trPr>
      <w:tc>
        <w:tcPr>
          <w:vMerge w:val="continue"/>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vAlign w:val="cente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66">
          <w:pPr>
            <w:tabs>
              <w:tab w:val="left" w:pos="2056"/>
              <w:tab w:val="left" w:pos="2536"/>
            </w:tabs>
            <w:spacing w:after="0" w:before="60" w:line="240" w:lineRule="auto"/>
            <w:ind w:firstLine="0"/>
            <w:jc w:val="left"/>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Yayın Tarihi</w:t>
          </w:r>
        </w:p>
      </w:tc>
      <w:tc>
        <w:tcPr>
          <w:vAlign w:val="center"/>
        </w:tcPr>
        <w:p w:rsidR="00000000" w:rsidDel="00000000" w:rsidP="00000000" w:rsidRDefault="00000000" w:rsidRPr="00000000" w14:paraId="00000067">
          <w:pPr>
            <w:tabs>
              <w:tab w:val="left" w:pos="2056"/>
              <w:tab w:val="left" w:pos="2536"/>
            </w:tabs>
            <w:spacing w:after="0" w:before="60" w:line="240" w:lineRule="auto"/>
            <w:ind w:firstLine="0"/>
            <w:jc w:val="left"/>
            <w:rPr>
              <w:rFonts w:ascii="Tahoma" w:cs="Tahoma" w:eastAsia="Tahoma" w:hAnsi="Tahoma"/>
              <w:sz w:val="20"/>
              <w:szCs w:val="20"/>
            </w:rPr>
          </w:pPr>
          <w:r w:rsidDel="00000000" w:rsidR="00000000" w:rsidRPr="00000000">
            <w:rPr>
              <w:rtl w:val="0"/>
            </w:rPr>
          </w:r>
        </w:p>
      </w:tc>
    </w:tr>
    <w:tr>
      <w:trPr>
        <w:cantSplit w:val="0"/>
        <w:trHeight w:val="242" w:hRule="atLeast"/>
        <w:tblHeader w:val="0"/>
      </w:trPr>
      <w:tc>
        <w:tcPr>
          <w:vMerge w:val="continue"/>
          <w:vAlign w:val="cente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0"/>
              <w:szCs w:val="20"/>
            </w:rPr>
          </w:pPr>
          <w:r w:rsidDel="00000000" w:rsidR="00000000" w:rsidRPr="00000000">
            <w:rPr>
              <w:rtl w:val="0"/>
            </w:rPr>
          </w:r>
        </w:p>
      </w:tc>
      <w:tc>
        <w:tcPr>
          <w:vMerge w:val="continue"/>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0"/>
              <w:szCs w:val="20"/>
            </w:rPr>
          </w:pPr>
          <w:r w:rsidDel="00000000" w:rsidR="00000000" w:rsidRPr="00000000">
            <w:rPr>
              <w:rtl w:val="0"/>
            </w:rPr>
          </w:r>
        </w:p>
      </w:tc>
      <w:tc>
        <w:tcPr>
          <w:vAlign w:val="center"/>
        </w:tcPr>
        <w:p w:rsidR="00000000" w:rsidDel="00000000" w:rsidP="00000000" w:rsidRDefault="00000000" w:rsidRPr="00000000" w14:paraId="0000006A">
          <w:pPr>
            <w:tabs>
              <w:tab w:val="left" w:pos="2056"/>
              <w:tab w:val="left" w:pos="2536"/>
            </w:tabs>
            <w:spacing w:after="0" w:before="60" w:line="240" w:lineRule="auto"/>
            <w:ind w:firstLine="0"/>
            <w:jc w:val="left"/>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Revizyon No</w:t>
          </w:r>
        </w:p>
      </w:tc>
      <w:tc>
        <w:tcPr>
          <w:vAlign w:val="center"/>
        </w:tcPr>
        <w:p w:rsidR="00000000" w:rsidDel="00000000" w:rsidP="00000000" w:rsidRDefault="00000000" w:rsidRPr="00000000" w14:paraId="0000006B">
          <w:pPr>
            <w:tabs>
              <w:tab w:val="left" w:pos="2056"/>
              <w:tab w:val="left" w:pos="2536"/>
            </w:tabs>
            <w:spacing w:after="0" w:before="60" w:line="240" w:lineRule="auto"/>
            <w:ind w:firstLine="0"/>
            <w:jc w:val="left"/>
            <w:rPr>
              <w:rFonts w:ascii="Tahoma" w:cs="Tahoma" w:eastAsia="Tahoma" w:hAnsi="Tahoma"/>
              <w:sz w:val="20"/>
              <w:szCs w:val="20"/>
            </w:rPr>
          </w:pPr>
          <w:r w:rsidDel="00000000" w:rsidR="00000000" w:rsidRPr="00000000">
            <w:rPr>
              <w:rtl w:val="0"/>
            </w:rPr>
          </w:r>
        </w:p>
      </w:tc>
    </w:tr>
    <w:tr>
      <w:trPr>
        <w:cantSplit w:val="0"/>
        <w:trHeight w:val="235" w:hRule="atLeast"/>
        <w:tblHeader w:val="0"/>
      </w:trPr>
      <w:tc>
        <w:tcPr>
          <w:vMerge w:val="continue"/>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0"/>
              <w:szCs w:val="20"/>
            </w:rPr>
          </w:pPr>
          <w:r w:rsidDel="00000000" w:rsidR="00000000" w:rsidRPr="00000000">
            <w:rPr>
              <w:rtl w:val="0"/>
            </w:rPr>
          </w:r>
        </w:p>
      </w:tc>
      <w:tc>
        <w:tcPr>
          <w:vMerge w:val="continue"/>
          <w:vAlign w:val="cente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0"/>
              <w:szCs w:val="20"/>
            </w:rPr>
          </w:pPr>
          <w:r w:rsidDel="00000000" w:rsidR="00000000" w:rsidRPr="00000000">
            <w:rPr>
              <w:rtl w:val="0"/>
            </w:rPr>
          </w:r>
        </w:p>
      </w:tc>
      <w:tc>
        <w:tcPr>
          <w:vAlign w:val="center"/>
        </w:tcPr>
        <w:p w:rsidR="00000000" w:rsidDel="00000000" w:rsidP="00000000" w:rsidRDefault="00000000" w:rsidRPr="00000000" w14:paraId="0000006E">
          <w:pPr>
            <w:tabs>
              <w:tab w:val="left" w:pos="2056"/>
              <w:tab w:val="left" w:pos="2536"/>
            </w:tabs>
            <w:spacing w:after="0" w:before="60" w:line="240" w:lineRule="auto"/>
            <w:ind w:firstLine="0"/>
            <w:jc w:val="left"/>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Sayfa No</w:t>
          </w:r>
        </w:p>
      </w:tc>
      <w:tc>
        <w:tcPr>
          <w:vAlign w:val="center"/>
        </w:tcPr>
        <w:p w:rsidR="00000000" w:rsidDel="00000000" w:rsidP="00000000" w:rsidRDefault="00000000" w:rsidRPr="00000000" w14:paraId="0000006F">
          <w:pPr>
            <w:tabs>
              <w:tab w:val="center" w:pos="4536"/>
              <w:tab w:val="right" w:pos="9072"/>
            </w:tabs>
            <w:spacing w:after="0" w:before="0" w:line="240" w:lineRule="auto"/>
            <w:ind w:firstLine="0"/>
            <w:jc w:val="left"/>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pos="4703"/>
        <w:tab w:val="right" w:pos="9406"/>
      </w:tabs>
      <w:spacing w:after="0" w:before="0" w:line="240" w:lineRule="auto"/>
      <w:ind w:firstLine="0"/>
      <w:rPr>
        <w:b w:val="1"/>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20" w:before="120" w:line="360" w:lineRule="auto"/>
        <w:ind w:firstLine="70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480" w:lineRule="auto"/>
    </w:pPr>
    <w:rPr>
      <w:b w:val="1"/>
      <w:sz w:val="72"/>
      <w:szCs w:val="72"/>
    </w:rPr>
  </w:style>
  <w:style w:type="paragraph" w:styleId="Normal" w:default="1">
    <w:name w:val="Normal"/>
    <w:qFormat w:val="1"/>
    <w:rsid w:val="00A411EB"/>
  </w:style>
  <w:style w:type="paragraph" w:styleId="Balk1">
    <w:name w:val="heading 1"/>
    <w:basedOn w:val="Normal"/>
    <w:next w:val="Normal"/>
    <w:pPr>
      <w:keepNext w:val="1"/>
      <w:keepLines w:val="1"/>
      <w:spacing w:before="480"/>
      <w:outlineLvl w:val="0"/>
    </w:pPr>
    <w:rPr>
      <w:b w:val="1"/>
      <w:sz w:val="48"/>
      <w:szCs w:val="48"/>
    </w:rPr>
  </w:style>
  <w:style w:type="paragraph" w:styleId="Balk2">
    <w:name w:val="heading 2"/>
    <w:basedOn w:val="Normal"/>
    <w:next w:val="Normal"/>
    <w:pPr>
      <w:keepNext w:val="1"/>
      <w:keepLines w:val="1"/>
      <w:spacing w:after="80" w:before="360"/>
      <w:outlineLvl w:val="1"/>
    </w:pPr>
    <w:rPr>
      <w:b w:val="1"/>
      <w:sz w:val="36"/>
      <w:szCs w:val="36"/>
    </w:rPr>
  </w:style>
  <w:style w:type="paragraph" w:styleId="Balk3">
    <w:name w:val="heading 3"/>
    <w:basedOn w:val="Normal"/>
    <w:next w:val="Normal"/>
    <w:pPr>
      <w:keepNext w:val="1"/>
      <w:keepLines w:val="1"/>
      <w:spacing w:after="80" w:before="280"/>
      <w:outlineLvl w:val="2"/>
    </w:pPr>
    <w:rPr>
      <w:b w:val="1"/>
      <w:sz w:val="28"/>
      <w:szCs w:val="28"/>
    </w:rPr>
  </w:style>
  <w:style w:type="paragraph" w:styleId="Balk4">
    <w:name w:val="heading 4"/>
    <w:basedOn w:val="Normal"/>
    <w:next w:val="Normal"/>
    <w:pPr>
      <w:keepNext w:val="1"/>
      <w:keepLines w:val="1"/>
      <w:spacing w:after="40" w:before="240"/>
      <w:outlineLvl w:val="3"/>
    </w:pPr>
    <w:rPr>
      <w:b w:val="1"/>
      <w:sz w:val="24"/>
      <w:szCs w:val="24"/>
    </w:rPr>
  </w:style>
  <w:style w:type="paragraph" w:styleId="Balk5">
    <w:name w:val="heading 5"/>
    <w:basedOn w:val="Normal"/>
    <w:next w:val="Normal"/>
    <w:pPr>
      <w:keepNext w:val="1"/>
      <w:keepLines w:val="1"/>
      <w:spacing w:after="40" w:before="220"/>
      <w:outlineLvl w:val="4"/>
    </w:pPr>
    <w:rPr>
      <w:b w:val="1"/>
    </w:rPr>
  </w:style>
  <w:style w:type="paragraph" w:styleId="Balk6">
    <w:name w:val="heading 6"/>
    <w:basedOn w:val="Normal"/>
    <w:next w:val="Normal"/>
    <w:pPr>
      <w:keepNext w:val="1"/>
      <w:keepLines w:val="1"/>
      <w:spacing w:after="40" w:before="200"/>
      <w:outlineLvl w:val="5"/>
    </w:pPr>
    <w:rPr>
      <w:b w:val="1"/>
      <w:sz w:val="20"/>
      <w:szCs w:val="20"/>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KonuBal">
    <w:name w:val="Title"/>
    <w:basedOn w:val="Normal"/>
    <w:next w:val="Normal"/>
    <w:pPr>
      <w:keepNext w:val="1"/>
      <w:keepLines w:val="1"/>
      <w:spacing w:before="480"/>
    </w:pPr>
    <w:rPr>
      <w:b w:val="1"/>
      <w:sz w:val="72"/>
      <w:szCs w:val="72"/>
    </w:rPr>
  </w:style>
  <w:style w:type="paragraph" w:styleId="NormalWeb">
    <w:name w:val="Normal (Web)"/>
    <w:basedOn w:val="Normal"/>
    <w:uiPriority w:val="99"/>
    <w:unhideWhenUsed w:val="1"/>
    <w:rsid w:val="0071361B"/>
    <w:pPr>
      <w:spacing w:after="100" w:afterAutospacing="1" w:before="100" w:beforeAutospacing="1" w:line="240" w:lineRule="auto"/>
      <w:ind w:firstLine="0"/>
      <w:jc w:val="left"/>
    </w:pPr>
    <w:rPr>
      <w:rFonts w:ascii="Times New Roman" w:cs="Times New Roman" w:eastAsia="Times New Roman" w:hAnsi="Times New Roman"/>
      <w:sz w:val="24"/>
      <w:szCs w:val="24"/>
      <w:lang w:eastAsia="tr-TR"/>
    </w:rPr>
  </w:style>
  <w:style w:type="character" w:styleId="Gl">
    <w:name w:val="Strong"/>
    <w:basedOn w:val="VarsaylanParagrafYazTipi"/>
    <w:uiPriority w:val="22"/>
    <w:qFormat w:val="1"/>
    <w:rsid w:val="0071361B"/>
    <w:rPr>
      <w:b w:val="1"/>
      <w:bCs w:val="1"/>
    </w:rPr>
  </w:style>
  <w:style w:type="paragraph" w:styleId="ListeParagraf">
    <w:name w:val="List Paragraph"/>
    <w:basedOn w:val="Normal"/>
    <w:uiPriority w:val="1"/>
    <w:qFormat w:val="1"/>
    <w:rsid w:val="00275ADB"/>
    <w:pPr>
      <w:ind w:left="720"/>
      <w:contextualSpacing w:val="1"/>
    </w:pPr>
  </w:style>
  <w:style w:type="paragraph" w:styleId="BalonMetni">
    <w:name w:val="Balloon Text"/>
    <w:basedOn w:val="Normal"/>
    <w:link w:val="BalonMetniChar"/>
    <w:uiPriority w:val="99"/>
    <w:semiHidden w:val="1"/>
    <w:unhideWhenUsed w:val="1"/>
    <w:rsid w:val="0029692C"/>
    <w:pPr>
      <w:spacing w:after="0" w:before="0" w:line="240" w:lineRule="auto"/>
    </w:pPr>
    <w:rPr>
      <w:rFonts w:ascii="Segoe UI" w:cs="Segoe UI" w:hAnsi="Segoe UI"/>
      <w:sz w:val="18"/>
      <w:szCs w:val="18"/>
    </w:rPr>
  </w:style>
  <w:style w:type="character" w:styleId="BalonMetniChar" w:customStyle="1">
    <w:name w:val="Balon Metni Char"/>
    <w:basedOn w:val="VarsaylanParagrafYazTipi"/>
    <w:link w:val="BalonMetni"/>
    <w:uiPriority w:val="99"/>
    <w:semiHidden w:val="1"/>
    <w:rsid w:val="0029692C"/>
    <w:rPr>
      <w:rFonts w:ascii="Segoe UI" w:cs="Segoe UI" w:hAnsi="Segoe UI"/>
      <w:sz w:val="18"/>
      <w:szCs w:val="18"/>
    </w:rPr>
  </w:style>
  <w:style w:type="paragraph" w:styleId="stBilgi">
    <w:name w:val="header"/>
    <w:basedOn w:val="Normal"/>
    <w:link w:val="stBilgiChar"/>
    <w:uiPriority w:val="99"/>
    <w:unhideWhenUsed w:val="1"/>
    <w:rsid w:val="004263EB"/>
    <w:pPr>
      <w:tabs>
        <w:tab w:val="center" w:pos="4703"/>
        <w:tab w:val="right" w:pos="9406"/>
      </w:tabs>
      <w:spacing w:after="0" w:before="0" w:line="240" w:lineRule="auto"/>
    </w:pPr>
  </w:style>
  <w:style w:type="character" w:styleId="stBilgiChar" w:customStyle="1">
    <w:name w:val="Üst Bilgi Char"/>
    <w:basedOn w:val="VarsaylanParagrafYazTipi"/>
    <w:link w:val="stBilgi"/>
    <w:uiPriority w:val="99"/>
    <w:rsid w:val="004263EB"/>
  </w:style>
  <w:style w:type="paragraph" w:styleId="AltBilgi">
    <w:name w:val="footer"/>
    <w:basedOn w:val="Normal"/>
    <w:link w:val="AltBilgiChar"/>
    <w:uiPriority w:val="99"/>
    <w:unhideWhenUsed w:val="1"/>
    <w:rsid w:val="004263EB"/>
    <w:pPr>
      <w:tabs>
        <w:tab w:val="center" w:pos="4703"/>
        <w:tab w:val="right" w:pos="9406"/>
      </w:tabs>
      <w:spacing w:after="0" w:before="0" w:line="240" w:lineRule="auto"/>
    </w:pPr>
  </w:style>
  <w:style w:type="character" w:styleId="AltBilgiChar" w:customStyle="1">
    <w:name w:val="Alt Bilgi Char"/>
    <w:basedOn w:val="VarsaylanParagrafYazTipi"/>
    <w:link w:val="AltBilgi"/>
    <w:uiPriority w:val="99"/>
    <w:rsid w:val="004263EB"/>
  </w:style>
  <w:style w:type="character" w:styleId="Kpr">
    <w:name w:val="Hyperlink"/>
    <w:basedOn w:val="VarsaylanParagrafYazTipi"/>
    <w:uiPriority w:val="99"/>
    <w:unhideWhenUsed w:val="1"/>
    <w:rsid w:val="00720F49"/>
    <w:rPr>
      <w:color w:val="0563c1" w:themeColor="hyperlink"/>
      <w:u w:val="single"/>
    </w:rPr>
  </w:style>
  <w:style w:type="paragraph" w:styleId="Altyaz">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NormalTablo"/>
    <w:tblPr>
      <w:tblStyleRowBandSize w:val="1"/>
      <w:tblStyleColBandSize w:val="1"/>
      <w:tblCellMar>
        <w:left w:w="70.0" w:type="dxa"/>
        <w:right w:w="70.0" w:type="dxa"/>
      </w:tblCellMar>
    </w:tblPr>
  </w:style>
  <w:style w:type="character" w:styleId="AklamaBavurusu">
    <w:name w:val="annotation reference"/>
    <w:basedOn w:val="VarsaylanParagrafYazTipi"/>
    <w:uiPriority w:val="99"/>
    <w:semiHidden w:val="1"/>
    <w:unhideWhenUsed w:val="1"/>
    <w:rsid w:val="00BE2DDE"/>
    <w:rPr>
      <w:sz w:val="16"/>
      <w:szCs w:val="16"/>
    </w:rPr>
  </w:style>
  <w:style w:type="paragraph" w:styleId="AklamaMetni">
    <w:name w:val="annotation text"/>
    <w:basedOn w:val="Normal"/>
    <w:link w:val="AklamaMetniChar"/>
    <w:uiPriority w:val="99"/>
    <w:semiHidden w:val="1"/>
    <w:unhideWhenUsed w:val="1"/>
    <w:rsid w:val="00BE2DDE"/>
    <w:pPr>
      <w:spacing w:line="240" w:lineRule="auto"/>
    </w:pPr>
    <w:rPr>
      <w:sz w:val="20"/>
      <w:szCs w:val="20"/>
    </w:rPr>
  </w:style>
  <w:style w:type="character" w:styleId="AklamaMetniChar" w:customStyle="1">
    <w:name w:val="Açıklama Metni Char"/>
    <w:basedOn w:val="VarsaylanParagrafYazTipi"/>
    <w:link w:val="AklamaMetni"/>
    <w:uiPriority w:val="99"/>
    <w:semiHidden w:val="1"/>
    <w:rsid w:val="00BE2DDE"/>
    <w:rPr>
      <w:sz w:val="20"/>
      <w:szCs w:val="20"/>
    </w:rPr>
  </w:style>
  <w:style w:type="paragraph" w:styleId="AklamaKonusu">
    <w:name w:val="annotation subject"/>
    <w:basedOn w:val="AklamaMetni"/>
    <w:next w:val="AklamaMetni"/>
    <w:link w:val="AklamaKonusuChar"/>
    <w:uiPriority w:val="99"/>
    <w:semiHidden w:val="1"/>
    <w:unhideWhenUsed w:val="1"/>
    <w:rsid w:val="00BE2DDE"/>
    <w:rPr>
      <w:b w:val="1"/>
      <w:bCs w:val="1"/>
    </w:rPr>
  </w:style>
  <w:style w:type="character" w:styleId="AklamaKonusuChar" w:customStyle="1">
    <w:name w:val="Açıklama Konusu Char"/>
    <w:basedOn w:val="AklamaMetniChar"/>
    <w:link w:val="AklamaKonusu"/>
    <w:uiPriority w:val="99"/>
    <w:semiHidden w:val="1"/>
    <w:rsid w:val="00BE2DDE"/>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7C69K/BD1SglgHLejLVXqLICpQ==">AMUW2mUkjuaaEJSPwSEqWxJadd340qpvtIm7T+GB5RiosOi2Dg8oSlfqCBDBKjFV0tRyvYrp14zj/w0cGhEy8FbVJzi0Y8eLcsw3Zh/MAui1kRMtP5SGxo4=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2021-09-06T19:04:00Z</dcterms:created>
  <dc:creator>irem cebioglu</dc:creator>
</cp:coreProperties>
</file>