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 BÖLÜM</w:t>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AMAÇ, KAPSAM ve DAYANAK</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0" w:before="0" w:lineRule="auto"/>
        <w:ind w:firstLine="0"/>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 AMAÇ: </w:t>
      </w:r>
      <w:r w:rsidDel="00000000" w:rsidR="00000000" w:rsidRPr="00000000">
        <w:rPr>
          <w:rFonts w:ascii="Times New Roman" w:cs="Times New Roman" w:eastAsia="Times New Roman" w:hAnsi="Times New Roman"/>
          <w:sz w:val="24"/>
          <w:szCs w:val="24"/>
          <w:rtl w:val="0"/>
        </w:rPr>
        <w:t xml:space="preserve">Bu yönergenin amacı Yeditepe Üniversitesi Sağlık Bilimleri Fakültesi Hemşirelik Bölümü’nün  eğitim ve öğretim sürecinin geliştirilmesi için kurulan  İyileştirme ve Geliştirme Komisyonu’nun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üyelerinin seçimini, yapısını, görev sürelerini, görevlerini ve çalışma esaslarını  belirlemektir. </w:t>
      </w:r>
    </w:p>
    <w:p w:rsidR="00000000" w:rsidDel="00000000" w:rsidP="00000000" w:rsidRDefault="00000000" w:rsidRPr="00000000" w14:paraId="00000005">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KAPSAM:</w:t>
      </w:r>
      <w:r w:rsidDel="00000000" w:rsidR="00000000" w:rsidRPr="00000000">
        <w:rPr>
          <w:rFonts w:ascii="Times New Roman" w:cs="Times New Roman" w:eastAsia="Times New Roman" w:hAnsi="Times New Roman"/>
          <w:sz w:val="24"/>
          <w:szCs w:val="24"/>
          <w:rtl w:val="0"/>
        </w:rPr>
        <w:t xml:space="preserve"> Bu yönerge Yeditepe Üniversitesi Sağlık Bilimleri Fakültesi Hemşirelik Bölümü’nün diğer komisyonlarından düzenli aralıklarla alınan raporların değerlendirilmesi, iyileştirme faaliyetlerinin ilgili komisyonlar ile birlikte planlanması, yürütülmesi ve etkin çalışmasının sağlanmasına ilişkin usul ve esasları kapsar.  </w:t>
      </w:r>
    </w:p>
    <w:p w:rsidR="00000000" w:rsidDel="00000000" w:rsidP="00000000" w:rsidRDefault="00000000" w:rsidRPr="00000000" w14:paraId="00000006">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 DAYANAK: </w:t>
      </w:r>
      <w:r w:rsidDel="00000000" w:rsidR="00000000" w:rsidRPr="00000000">
        <w:rPr>
          <w:rFonts w:ascii="Times New Roman" w:cs="Times New Roman" w:eastAsia="Times New Roman" w:hAnsi="Times New Roman"/>
          <w:sz w:val="24"/>
          <w:szCs w:val="24"/>
          <w:rtl w:val="0"/>
        </w:rPr>
        <w:t xml:space="preserve">Aşağıda listelenen yönerge ve yönetmelikler doğrultusunda komisyon çalışma ilkeleri belirlenmiştir.</w:t>
      </w:r>
    </w:p>
    <w:p w:rsidR="00000000" w:rsidDel="00000000" w:rsidP="00000000" w:rsidRDefault="00000000" w:rsidRPr="00000000" w14:paraId="00000007">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Üniversitesi Önlisans ve Lisans Eğitim Öğretim Yönetmeliği ve ilgili mevzuatlar,</w:t>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Temmuz 2015’te yayınlanan Yükseköğretim Kalite Güvencesi Yönetmeliğine göre kurulmuş olan ve 23.11.2018 tarih ve 30604 sayılı resmi gazetede yayımlanarak yürürlüğe giren Yükseköğretim Kalite Güvencesi ve Yükseköğretim Kalite Kurulu Yönetmeliği,</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26775 sayılı Resmi Gazete’de yayınlanan “Doktorluk, Hemşirelik, Ebelik, Diş Hekimliği, Veterinerlik, Eczacılık ve Mimarlık Eğitim Programlarının Asgari Eğitim Koşullarının Belirlenmesine Dair Yönetmelik”,</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YÖK Hemşirelik Ulusal Çekirdek Eğitim Programı (HUÇEP),</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Hemşirelik Eğitim Programları Değerlendirme ve Akreditasyon Kurulu (HEPDAK),</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17/6/2021 tarihli 31514 sayılı Resmî Gazete’de yayımlanan Yükseköğretimde Uygulamalı Eğitimler Çerçeve Yönetmeliği,</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24/09/2020 tarihli toplantısında karar verilen Yükseköğretim Kurumlarında Uzaktan Öğretime İlişkin Usul ve Esaslar,</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Yeditepe Üniversitesi Kalite Güvence Sistemi (https://kalite.yeditepe.edu.tr/).</w:t>
        <w:br w:type="textWrapping"/>
      </w:r>
    </w:p>
    <w:p w:rsidR="00000000" w:rsidDel="00000000" w:rsidP="00000000" w:rsidRDefault="00000000" w:rsidRPr="00000000" w14:paraId="0000000F">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İKİNCİ BÖLÜM</w:t>
      </w:r>
    </w:p>
    <w:p w:rsidR="00000000" w:rsidDel="00000000" w:rsidP="00000000" w:rsidRDefault="00000000" w:rsidRPr="00000000" w14:paraId="00000010">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KOMİSYONUN YAPISI, ÇALIŞMA ESASLARI VE GÖREVLERİ</w:t>
      </w:r>
    </w:p>
    <w:p w:rsidR="00000000" w:rsidDel="00000000" w:rsidP="00000000" w:rsidRDefault="00000000" w:rsidRPr="00000000" w14:paraId="0000001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KOMİSYONUN YAPISI</w:t>
      </w:r>
      <w:r w:rsidDel="00000000" w:rsidR="00000000" w:rsidRPr="00000000">
        <w:rPr>
          <w:rtl w:val="0"/>
        </w:rPr>
      </w:r>
    </w:p>
    <w:p w:rsidR="00000000" w:rsidDel="00000000" w:rsidP="00000000" w:rsidRDefault="00000000" w:rsidRPr="00000000" w14:paraId="00000012">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 </w:t>
      </w:r>
      <w:r w:rsidDel="00000000" w:rsidR="00000000" w:rsidRPr="00000000">
        <w:rPr>
          <w:rFonts w:ascii="Times New Roman" w:cs="Times New Roman" w:eastAsia="Times New Roman" w:hAnsi="Times New Roman"/>
          <w:sz w:val="24"/>
          <w:szCs w:val="24"/>
          <w:rtl w:val="0"/>
        </w:rPr>
        <w:t xml:space="preserve">Bu maddede komisyonun yapısı belirtilmiştir.</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Öğrenci ve Mezun İzlem Komisyonu, Ölçme Değerlendirme Komisyonu, Eğitim Öğretim ve Müfredat Komisyonu’ndan birer üye olmak üzere en az 3 (üç) üyeden oluşur. Gerekli durumlarda toplantılara diğer komisyonlardan üyeler davet edilir.</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Başkanı ve başkan yardımcısı üyeler tarafından seçilir. Komisyon başkanının görev süresi 3 (üç) yıldır. Başkan Yardımcısı, Başkanın olmadığı durumlarda Kurul Başkanlığını yürütür.</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yılda en az 2 (iki) kere üye çoğunluğu ile toplanır ve alınan kararları raporlar. Olağan dışı durumlar dahilinde komisyon, başkanın çağrısı ile toplanabilir. Kararlar toplantıya katılan üyelerin oy çokluğu ile alınır. </w:t>
      </w:r>
    </w:p>
    <w:p w:rsidR="00000000" w:rsidDel="00000000" w:rsidP="00000000" w:rsidRDefault="00000000" w:rsidRPr="00000000" w14:paraId="00000016">
      <w:pPr>
        <w:tabs>
          <w:tab w:val="left" w:leader="none" w:pos="426"/>
        </w:tabs>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tabs>
          <w:tab w:val="left" w:leader="none" w:pos="426"/>
        </w:tabs>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ÇALIŞMA ESASLARI</w:t>
      </w:r>
    </w:p>
    <w:p w:rsidR="00000000" w:rsidDel="00000000" w:rsidP="00000000" w:rsidRDefault="00000000" w:rsidRPr="00000000" w14:paraId="00000018">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w:t>
      </w:r>
      <w:r w:rsidDel="00000000" w:rsidR="00000000" w:rsidRPr="00000000">
        <w:rPr>
          <w:rFonts w:ascii="Times New Roman" w:cs="Times New Roman" w:eastAsia="Times New Roman" w:hAnsi="Times New Roman"/>
          <w:sz w:val="24"/>
          <w:szCs w:val="24"/>
          <w:rtl w:val="0"/>
        </w:rPr>
        <w:t xml:space="preserve"> Bu maddede İyileştirme ve Geliştirme Komisyonu’nun çalışma esaslarını belirtilmiştir. </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İyileştirme ve Geliştirme Komisyonu, Yeditepe Üniversitesi Sağlık Bilimleri Fakültesi Hemşirelik Bölümü eğitim öğretim programının yürütülmesine ilişkin değerlendirme ve gerekli durumlarda iyileştirme faaliyetlerini yürütme organı olarak görev yapar.</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eğitim ve öğretim sürecinde kazanılan bilgi, tutum ve becerilerin program çıktılarına ulaşıp ulaşmadığını eğitim sırasında ve mezuniyet sonrası izler, hemşirelik eğitimi programında iyileştirme çalışmalarını yaparak, programın nitelikli bir şekilde sürdürülmesini ve program standartlarının korunup, yükseltilmesini hedefler. </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belirtilen görev ve yetkilerinin dışında kalan ve kendi içinde çözemediği konuların değerlendirilmesi için Akreditasyon Kurulu’na başvurur. </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Kurul yürüttüğü faaliyetlerle ilgili Akreditasyon Kurulu’na yılda en az bir kez rapor sunmakla yükümlüdür.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426"/>
        </w:tabs>
        <w:spacing w:before="0" w:lineRule="auto"/>
        <w:ind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tabs>
          <w:tab w:val="left" w:leader="none" w:pos="426"/>
        </w:tabs>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KOMİSYONUN GÖREVLERİ</w:t>
      </w:r>
      <w:r w:rsidDel="00000000" w:rsidR="00000000" w:rsidRPr="00000000">
        <w:rPr>
          <w:rtl w:val="0"/>
        </w:rPr>
      </w:r>
    </w:p>
    <w:p w:rsidR="00000000" w:rsidDel="00000000" w:rsidP="00000000" w:rsidRDefault="00000000" w:rsidRPr="00000000" w14:paraId="0000001F">
      <w:pPr>
        <w:tabs>
          <w:tab w:val="left" w:leader="none" w:pos="426"/>
        </w:tabs>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 </w:t>
      </w:r>
      <w:r w:rsidDel="00000000" w:rsidR="00000000" w:rsidRPr="00000000">
        <w:rPr>
          <w:rFonts w:ascii="Times New Roman" w:cs="Times New Roman" w:eastAsia="Times New Roman" w:hAnsi="Times New Roman"/>
          <w:sz w:val="24"/>
          <w:szCs w:val="24"/>
          <w:rtl w:val="0"/>
        </w:rPr>
        <w:t xml:space="preserve">Bu maddede İyileştirme ve Geliştirme Komisyonun görevleri belirtilmiştir.</w:t>
      </w:r>
    </w:p>
    <w:p w:rsidR="00000000" w:rsidDel="00000000" w:rsidP="00000000" w:rsidRDefault="00000000" w:rsidRPr="00000000" w14:paraId="00000020">
      <w:pPr>
        <w:numPr>
          <w:ilvl w:val="1"/>
          <w:numId w:val="3"/>
        </w:numPr>
        <w:pBdr>
          <w:top w:space="0" w:sz="0" w:val="nil"/>
          <w:left w:space="0" w:sz="0" w:val="nil"/>
          <w:bottom w:space="0" w:sz="0" w:val="nil"/>
          <w:right w:space="0" w:sz="0" w:val="nil"/>
          <w:between w:space="0" w:sz="0" w:val="nil"/>
        </w:pBdr>
        <w:tabs>
          <w:tab w:val="left" w:leader="none" w:pos="426"/>
        </w:tabs>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Eğitim programının tüm süreçlerini kapsayan sistematik bir değerlendirme ve sürekli iyileştirmeye yönelik PUKO döngüsü olarak adlandırılan “planla”, “uygula”, “kontrol et” ve “önlem al” ilkelerine dayanan metodolojiyi kullanır.</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Eğitim programının tüm süreçlerini kapsayan sistematik değerlendirme ve sürekli iyileştirmeye yönelik “Performans Göstergeleri Takip Planı”nı ve “Program Değerlendirme Takip Planı”nı oluşturur, yılda bir kez ve gerekli durumlarda inceler ve takip kriterlerini program amaçları ve çıktıları doğrultusunda yeniler.</w:t>
      </w:r>
    </w:p>
    <w:p w:rsidR="00000000" w:rsidDel="00000000" w:rsidP="00000000" w:rsidRDefault="00000000" w:rsidRPr="00000000" w14:paraId="00000022">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Öğrencilerin eğitim programının planlama, uygulama ve değerlendirme süreçlerine katılımı, değişim programı, akademik ve kariyer danışmanlık sistemi, psikolojik danışmanlık ve rehberlik hizmetleri, öğrencilerin bilimsel, sosyal, sportif ve kültürel faaliyetlere katılımı, akran yönderlik sisteminin yönetimine ilişkin verilerin ölçülmesi, değerlendirilmesi ve ulaşılma durumunu belirlemek için tüm komisyonlar tarafından doldurulan “Performans Göstergeleri Takip Planı”nı değerlendirir, gerekli gördüğü hallerde çeşitli iyileştirme faaliyetleri için ilgili komisyonları görevlendirir ve gerekli iyileştirmelerin yapılmasını sağlar.</w:t>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Öğrenci ve mezunların programın amaç ve çıktılarına ulaşma düzeylerini değerlendirmek üzere Öğrenci ve Mezun İzlem Komisyonu tarafından yapılan “Eğitim Program Amaçları Değerlendirme Veri Seti (Paydaş)” “Eğitim Program Amaçları Değerlendirme Veri Seti (Mezun Durumundaki Öğrenci)”, “Eğitim Program Amaçları Değerlendirme Veri Seti (Mezun)” “Eğitim Program Çıktıları Değerlendirme Veri Seti (Paydaş)” , “Eğitim Program Çıktıları Değerlendirme Veri Seti (Öğrenci)” </w:t>
      </w:r>
      <w:r w:rsidDel="00000000" w:rsidR="00000000" w:rsidRPr="00000000">
        <w:rPr>
          <w:rFonts w:ascii="Times New Roman" w:cs="Times New Roman" w:eastAsia="Times New Roman" w:hAnsi="Times New Roman"/>
          <w:color w:val="202124"/>
          <w:sz w:val="24"/>
          <w:szCs w:val="24"/>
          <w:highlight w:val="white"/>
          <w:rtl w:val="0"/>
        </w:rPr>
        <w:t xml:space="preserve">“Öğrenci Odak Grup Görüşmeleri Yarı Yapılandırılmış Görüşme Formu” ve “Mezun Durumundaki Odak Grup Görüşmeleri Yarı Yapılandırılmış Görüşme Formu” raporlarını değerlendirir ve gerekli iyileştirmelerin yapılmasını sağlar.</w:t>
      </w:r>
      <w:r w:rsidDel="00000000" w:rsidR="00000000" w:rsidRPr="00000000">
        <w:rPr>
          <w:rtl w:val="0"/>
        </w:rPr>
      </w:r>
    </w:p>
    <w:p w:rsidR="00000000" w:rsidDel="00000000" w:rsidP="00000000" w:rsidRDefault="00000000" w:rsidRPr="00000000" w14:paraId="00000024">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Öğretim elemanı kadrosunun gelişimi, eğitimin yönetimi, program amaç ve çıktılarına ulaşmaya yönelik fiziksel altyapının değerlendirilmesine ilişkin verilerin ölçülmesi, değerlendirilmesi ve ulaşılma durumunu sağlamak amacıyla tüm komisyonlar tarafından doldurulan “Program Değerlendirme Takip Planı”nı değerlendirir, </w:t>
      </w:r>
      <w:r w:rsidDel="00000000" w:rsidR="00000000" w:rsidRPr="00000000">
        <w:rPr>
          <w:rFonts w:ascii="Times New Roman" w:cs="Times New Roman" w:eastAsia="Times New Roman" w:hAnsi="Times New Roman"/>
          <w:color w:val="202124"/>
          <w:sz w:val="24"/>
          <w:szCs w:val="24"/>
          <w:highlight w:val="white"/>
          <w:rtl w:val="0"/>
        </w:rPr>
        <w:t xml:space="preserve">gerekli iyileştirmelerin yapılmasını sağlar.</w:t>
      </w:r>
      <w:r w:rsidDel="00000000" w:rsidR="00000000" w:rsidRPr="00000000">
        <w:rPr>
          <w:rtl w:val="0"/>
        </w:rPr>
      </w:r>
    </w:p>
    <w:p w:rsidR="00000000" w:rsidDel="00000000" w:rsidP="00000000" w:rsidRDefault="00000000" w:rsidRPr="00000000" w14:paraId="00000025">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derslerin öğrenme çıktılarını, öğrenme ve değerlendirme yöntemlerini, dersin teorik ya da uygulamalı ders saatlerine uyumu değerlendirmek amacı ile oluşturulan; Ders İzlencesi, Ders Bilgi Paketi, Öğrenci Uygulama Karnesi, Ders Dosyaları Kontrol Formu, Ders Değerlendirme Formu, Öğretim Elemanlarına Yönelik Oryantasyon Programı ve  Program Değerlendirme Takip Planı ile toplanan verilerin raporlarını Eğitim Öğretim ve Müfredat Komisyonundan alır, gerekli iyileştirme ve geliştirme faaliyetlerini planlar.</w:t>
      </w:r>
    </w:p>
    <w:p w:rsidR="00000000" w:rsidDel="00000000" w:rsidP="00000000" w:rsidRDefault="00000000" w:rsidRPr="00000000" w14:paraId="00000026">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program amaç ve çıktılarına ulaşma durumlarını değerlendirmek amacıyla “ “Laboratuvar Ortamı Öğrenci Geri Bildirim Formu” ve “Klinik Eğitim Ortamı Öğrenci Geri Bildirim Formu” ile toplanan verilerin raporlarını, laboratuvar ve klinik uygulamalar esnasında meydana gelen yaralanmalar durumunda tutulan yaralanma istatistiklerini Laboratuvar ve Klinik Uygulamalar Komisyonu’ndan alır, gerekli iyileştirme ve geliştirme faaliyetlerini planlar.</w:t>
      </w:r>
    </w:p>
    <w:p w:rsidR="00000000" w:rsidDel="00000000" w:rsidP="00000000" w:rsidRDefault="00000000" w:rsidRPr="00000000" w14:paraId="00000027">
      <w:pPr>
        <w:numPr>
          <w:ilvl w:val="1"/>
          <w:numId w:val="3"/>
        </w:numPr>
        <w:pBdr>
          <w:top w:space="0" w:sz="0" w:val="nil"/>
          <w:left w:space="0" w:sz="0" w:val="nil"/>
          <w:bottom w:space="0" w:sz="0" w:val="nil"/>
          <w:right w:space="0" w:sz="0" w:val="nil"/>
          <w:between w:space="0" w:sz="0" w:val="nil"/>
        </w:pBdr>
        <w:tabs>
          <w:tab w:val="left" w:leader="none" w:pos="426"/>
        </w:tabs>
        <w:spacing w:after="0" w:before="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Öğrencilerin program amaç ve çıktılarına ulaşma durumlarını değerlendirmek amacıyla “Sınav Analiz Formu”, “Ölçme Değerlendirme Formu” ve “Hemşirelik Bölümü Ders Çıktılarının Program Çıktılarına Katkı Tablosu” ile toplanan verilerin istatistiklerini Ölçme Değerlendirme Komisyonu’ndan alır, gerekli iyileştirme ve geliştirme faaliyetlerini planlar.</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426"/>
        </w:tabs>
        <w:spacing w:after="0" w:before="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tabs>
          <w:tab w:val="left" w:leader="none" w:pos="426"/>
          <w:tab w:val="left" w:leader="none" w:pos="567"/>
        </w:tabs>
        <w:spacing w:after="0"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Komisyon, iyileştirme çalışmalarını “Standartlara Yönelik Kurumsal Sürekli İyileştirme Çalışmaları ve Sonuçları” formu ile gerçekleştirir, izler, sonuçları değerlendirir ve ilgili paydaşlarla paylaşır, çözülemeyen konuların değerlendirilmesi için Akreditasyon Kurulu’na rapor verir.</w:t>
      </w:r>
    </w:p>
    <w:p w:rsidR="00000000" w:rsidDel="00000000" w:rsidP="00000000" w:rsidRDefault="00000000" w:rsidRPr="00000000" w14:paraId="0000002A">
      <w:pPr>
        <w:numPr>
          <w:ilvl w:val="1"/>
          <w:numId w:val="3"/>
        </w:numPr>
        <w:pBdr>
          <w:top w:space="0" w:sz="0" w:val="nil"/>
          <w:left w:space="0" w:sz="0" w:val="nil"/>
          <w:bottom w:space="0" w:sz="0" w:val="nil"/>
          <w:right w:space="0" w:sz="0" w:val="nil"/>
          <w:between w:space="0" w:sz="0" w:val="nil"/>
        </w:pBdr>
        <w:tabs>
          <w:tab w:val="left" w:leader="none" w:pos="426"/>
          <w:tab w:val="left" w:leader="none" w:pos="567"/>
        </w:tabs>
        <w:spacing w:before="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Akreditasyon Kurulu’nun verdiği diğer görevleri gerçekleştirir.</w:t>
      </w:r>
    </w:p>
    <w:p w:rsidR="00000000" w:rsidDel="00000000" w:rsidP="00000000" w:rsidRDefault="00000000" w:rsidRPr="00000000" w14:paraId="0000002B">
      <w:pPr>
        <w:ind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ÜÇÜNCÜ BÖLÜM</w:t>
      </w:r>
    </w:p>
    <w:p w:rsidR="00000000" w:rsidDel="00000000" w:rsidP="00000000" w:rsidRDefault="00000000" w:rsidRPr="00000000" w14:paraId="0000002D">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HÜKÜM BULUNMAYAN DURUMLAR</w:t>
      </w:r>
    </w:p>
    <w:p w:rsidR="00000000" w:rsidDel="00000000" w:rsidP="00000000" w:rsidRDefault="00000000" w:rsidRPr="00000000" w14:paraId="0000002E">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7: </w:t>
      </w:r>
      <w:r w:rsidDel="00000000" w:rsidR="00000000" w:rsidRPr="00000000">
        <w:rPr>
          <w:rFonts w:ascii="Times New Roman" w:cs="Times New Roman" w:eastAsia="Times New Roman" w:hAnsi="Times New Roman"/>
          <w:sz w:val="24"/>
          <w:szCs w:val="24"/>
          <w:rtl w:val="0"/>
        </w:rPr>
        <w:t xml:space="preserve">Bu İyileştirme ve Geliştirme Komisyonu yönergesinde usul ve esaslarda hüküm bulunmayan hallerde Akreditasyon Kurulu’na danışılır ve nihai karar Akreditasyon Kurulu tarafınca belirlenir.</w:t>
      </w:r>
    </w:p>
    <w:p w:rsidR="00000000" w:rsidDel="00000000" w:rsidP="00000000" w:rsidRDefault="00000000" w:rsidRPr="00000000" w14:paraId="0000002F">
      <w:pPr>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DÖRDÜNCÜ BÖLÜM</w:t>
      </w:r>
    </w:p>
    <w:p w:rsidR="00000000" w:rsidDel="00000000" w:rsidP="00000000" w:rsidRDefault="00000000" w:rsidRPr="00000000" w14:paraId="0000003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HÜKÜMLER</w:t>
      </w:r>
    </w:p>
    <w:p w:rsidR="00000000" w:rsidDel="00000000" w:rsidP="00000000" w:rsidRDefault="00000000" w:rsidRPr="00000000" w14:paraId="00000032">
      <w:pPr>
        <w:ind w:firstLine="0"/>
        <w:rPr>
          <w:rFonts w:ascii="Times New Roman" w:cs="Times New Roman" w:eastAsia="Times New Roman" w:hAnsi="Times New Roman"/>
          <w:b w:val="1"/>
          <w:strike w:val="1"/>
          <w:sz w:val="24"/>
          <w:szCs w:val="24"/>
        </w:rPr>
      </w:pPr>
      <w:r w:rsidDel="00000000" w:rsidR="00000000" w:rsidRPr="00000000">
        <w:rPr>
          <w:rFonts w:ascii="Times New Roman" w:cs="Times New Roman" w:eastAsia="Times New Roman" w:hAnsi="Times New Roman"/>
          <w:b w:val="1"/>
          <w:sz w:val="24"/>
          <w:szCs w:val="24"/>
          <w:rtl w:val="0"/>
        </w:rPr>
        <w:t xml:space="preserve">Madde 8:</w:t>
      </w:r>
      <w:r w:rsidDel="00000000" w:rsidR="00000000" w:rsidRPr="00000000">
        <w:rPr>
          <w:rFonts w:ascii="Times New Roman" w:cs="Times New Roman" w:eastAsia="Times New Roman" w:hAnsi="Times New Roman"/>
          <w:sz w:val="24"/>
          <w:szCs w:val="24"/>
          <w:rtl w:val="0"/>
        </w:rPr>
        <w:t xml:space="preserve"> Bu İyileştirme ve Geliştirme Komisyonu yönergesi Yeditepe Üniversitesi Sağlık Bilimleri Fakültesi Dekanı</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onayı ile yürürlüğe girer. </w:t>
      </w:r>
      <w:r w:rsidDel="00000000" w:rsidR="00000000" w:rsidRPr="00000000">
        <w:rPr>
          <w:rtl w:val="0"/>
        </w:rPr>
      </w:r>
    </w:p>
    <w:p w:rsidR="00000000" w:rsidDel="00000000" w:rsidP="00000000" w:rsidRDefault="00000000" w:rsidRPr="00000000" w14:paraId="00000033">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9</w:t>
      </w:r>
      <w:r w:rsidDel="00000000" w:rsidR="00000000" w:rsidRPr="00000000">
        <w:rPr>
          <w:rFonts w:ascii="Times New Roman" w:cs="Times New Roman" w:eastAsia="Times New Roman" w:hAnsi="Times New Roman"/>
          <w:sz w:val="24"/>
          <w:szCs w:val="24"/>
          <w:rtl w:val="0"/>
        </w:rPr>
        <w:t xml:space="preserve">: Bu yönerge üzerindeki değişiklik önerileri İyileştirme ve Geliştirme Komisyonu tarafından Akreditasyon Kurulu’na sunulur, hazırlanan öneriler kurul tarafından karara bağlanır.</w:t>
      </w:r>
    </w:p>
    <w:p w:rsidR="00000000" w:rsidDel="00000000" w:rsidP="00000000" w:rsidRDefault="00000000" w:rsidRPr="00000000" w14:paraId="00000034">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10:</w:t>
      </w:r>
      <w:r w:rsidDel="00000000" w:rsidR="00000000" w:rsidRPr="00000000">
        <w:rPr>
          <w:rFonts w:ascii="Times New Roman" w:cs="Times New Roman" w:eastAsia="Times New Roman" w:hAnsi="Times New Roman"/>
          <w:sz w:val="24"/>
          <w:szCs w:val="24"/>
          <w:rtl w:val="0"/>
        </w:rPr>
        <w:t xml:space="preserve"> Bu yönerge Yeditepe Üniversitesi Hemşirelik Bölüm Başkanı tarafından yürütülür. </w:t>
      </w:r>
    </w:p>
    <w:p w:rsidR="00000000" w:rsidDel="00000000" w:rsidP="00000000" w:rsidRDefault="00000000" w:rsidRPr="00000000" w14:paraId="00000035">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Hemşirelik Bölümü İyileştirme ve Geliştirme Komisyonu</w:t>
      </w:r>
    </w:p>
    <w:p w:rsidR="00000000" w:rsidDel="00000000" w:rsidP="00000000" w:rsidRDefault="00000000" w:rsidRPr="00000000" w14:paraId="00000037">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İnci Kırtıl, Başkan</w:t>
      </w:r>
    </w:p>
    <w:p w:rsidR="00000000" w:rsidDel="00000000" w:rsidP="00000000" w:rsidRDefault="00000000" w:rsidRPr="00000000" w14:paraId="00000038">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Doç. Dr.  Işıl IŞIK, Başkan Yardımcısı</w:t>
      </w:r>
    </w:p>
    <w:p w:rsidR="00000000" w:rsidDel="00000000" w:rsidP="00000000" w:rsidRDefault="00000000" w:rsidRPr="00000000" w14:paraId="00000039">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Şevval ÇAĞAN KİŞİN, Sekreter</w:t>
      </w:r>
    </w:p>
    <w:p w:rsidR="00000000" w:rsidDel="00000000" w:rsidP="00000000" w:rsidRDefault="00000000" w:rsidRPr="00000000" w14:paraId="0000003A">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Öğr. Üyesi Selman Çelik, Üye</w:t>
      </w:r>
    </w:p>
    <w:p w:rsidR="00000000" w:rsidDel="00000000" w:rsidP="00000000" w:rsidRDefault="00000000" w:rsidRPr="00000000" w14:paraId="0000003B">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Emir AVŞAR, Üye</w:t>
      </w:r>
    </w:p>
    <w:p w:rsidR="00000000" w:rsidDel="00000000" w:rsidP="00000000" w:rsidRDefault="00000000" w:rsidRPr="00000000" w14:paraId="0000003C">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Arş. Gör. Selin DEMİRKAN, Üye</w:t>
      </w:r>
    </w:p>
    <w:p w:rsidR="00000000" w:rsidDel="00000000" w:rsidP="00000000" w:rsidRDefault="00000000" w:rsidRPr="00000000" w14:paraId="0000003D">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Lisansüstü Bursiyer Sıdıka ZENGİN</w:t>
      </w:r>
    </w:p>
    <w:p w:rsidR="00000000" w:rsidDel="00000000" w:rsidP="00000000" w:rsidRDefault="00000000" w:rsidRPr="00000000" w14:paraId="0000003E">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Öğrencisi Hüseyin HALİL, Üye</w:t>
      </w:r>
    </w:p>
    <w:p w:rsidR="00000000" w:rsidDel="00000000" w:rsidP="00000000" w:rsidRDefault="00000000" w:rsidRPr="00000000" w14:paraId="0000003F">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Öğrencisi Mehmet Enes İNEL, Üye</w:t>
      </w:r>
    </w:p>
    <w:p w:rsidR="00000000" w:rsidDel="00000000" w:rsidP="00000000" w:rsidRDefault="00000000" w:rsidRPr="00000000" w14:paraId="00000040">
      <w:pPr>
        <w:spacing w:after="160" w:before="0" w:lineRule="auto"/>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Lisans Öğrencisi Esmanur OSMANOĞLU, Üye</w:t>
      </w:r>
    </w:p>
    <w:p w:rsidR="00000000" w:rsidDel="00000000" w:rsidP="00000000" w:rsidRDefault="00000000" w:rsidRPr="00000000" w14:paraId="00000041">
      <w:pPr>
        <w:spacing w:after="160" w:before="0" w:lineRule="auto"/>
        <w:ind w:firstLine="0"/>
        <w:jc w:val="left"/>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tbl>
    <w:tblPr>
      <w:tblStyle w:val="Table1"/>
      <w:tblW w:w="106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6101"/>
      <w:gridCol w:w="1701"/>
      <w:gridCol w:w="1134"/>
      <w:tblGridChange w:id="0">
        <w:tblGrid>
          <w:gridCol w:w="1696"/>
          <w:gridCol w:w="6101"/>
          <w:gridCol w:w="1701"/>
          <w:gridCol w:w="1134"/>
        </w:tblGrid>
      </w:tblGridChange>
    </w:tblGrid>
    <w:tr>
      <w:trPr>
        <w:cantSplit w:val="0"/>
        <w:trHeight w:val="397" w:hRule="atLeast"/>
        <w:tblHeader w:val="0"/>
      </w:trPr>
      <w:tc>
        <w:tcPr>
          <w:vMerge w:val="restart"/>
        </w:tcPr>
        <w:p w:rsidR="00000000" w:rsidDel="00000000" w:rsidP="00000000" w:rsidRDefault="00000000" w:rsidRPr="00000000" w14:paraId="00000043">
          <w:pPr>
            <w:spacing w:after="0" w:line="240" w:lineRule="auto"/>
            <w:ind w:right="360" w:firstLine="0"/>
            <w:rPr>
              <w:rFonts w:ascii="Tahoma" w:cs="Tahoma" w:eastAsia="Tahoma" w:hAnsi="Tahoma"/>
              <w:b w:val="1"/>
            </w:rPr>
          </w:pPr>
          <w:r w:rsidDel="00000000" w:rsidR="00000000" w:rsidRPr="00000000">
            <w:rPr>
              <w:rFonts w:ascii="Tahoma" w:cs="Tahoma" w:eastAsia="Tahoma" w:hAnsi="Tahoma"/>
              <w:b w:val="1"/>
            </w:rPr>
            <w:drawing>
              <wp:inline distB="0" distT="0" distL="0" distR="0">
                <wp:extent cx="850900" cy="80010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09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pacing w:after="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45">
          <w:pPr>
            <w:spacing w:after="0" w:line="240" w:lineRule="auto"/>
            <w:jc w:val="center"/>
            <w:rPr>
              <w:rFonts w:ascii="Tahoma" w:cs="Tahoma" w:eastAsia="Tahoma" w:hAnsi="Tahoma"/>
              <w:b w:val="1"/>
            </w:rPr>
          </w:pPr>
          <w:r w:rsidDel="00000000" w:rsidR="00000000" w:rsidRPr="00000000">
            <w:rPr>
              <w:rtl w:val="0"/>
            </w:rPr>
          </w:r>
        </w:p>
      </w:tc>
      <w:tc>
        <w:tcPr>
          <w:vMerge w:val="restart"/>
          <w:vAlign w:val="center"/>
        </w:tcPr>
        <w:p w:rsidR="00000000" w:rsidDel="00000000" w:rsidP="00000000" w:rsidRDefault="00000000" w:rsidRPr="00000000" w14:paraId="00000046">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YEDİTEPE ÜNİVERSİTESİ</w:t>
          </w:r>
          <w:r w:rsidDel="00000000" w:rsidR="00000000" w:rsidRPr="00000000">
            <w:rPr>
              <w:rtl w:val="0"/>
            </w:rPr>
          </w:r>
        </w:p>
        <w:p w:rsidR="00000000" w:rsidDel="00000000" w:rsidP="00000000" w:rsidRDefault="00000000" w:rsidRPr="00000000" w14:paraId="00000047">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SAĞLIK BİLİMLERİ FAKÜLTESİ</w:t>
          </w:r>
          <w:r w:rsidDel="00000000" w:rsidR="00000000" w:rsidRPr="00000000">
            <w:rPr>
              <w:rtl w:val="0"/>
            </w:rPr>
          </w:r>
        </w:p>
        <w:p w:rsidR="00000000" w:rsidDel="00000000" w:rsidP="00000000" w:rsidRDefault="00000000" w:rsidRPr="00000000" w14:paraId="00000048">
          <w:pPr>
            <w:shd w:fill="ffffff" w:val="clear"/>
            <w:spacing w:after="0" w:before="0" w:line="276" w:lineRule="auto"/>
            <w:ind w:firstLine="0"/>
            <w:jc w:val="center"/>
            <w:rPr>
              <w:rFonts w:ascii="Times New Roman" w:cs="Times New Roman" w:eastAsia="Times New Roman" w:hAnsi="Times New Roman"/>
              <w:color w:val="1e1e1e"/>
              <w:sz w:val="24"/>
              <w:szCs w:val="24"/>
            </w:rPr>
          </w:pPr>
          <w:r w:rsidDel="00000000" w:rsidR="00000000" w:rsidRPr="00000000">
            <w:rPr>
              <w:rFonts w:ascii="Times New Roman" w:cs="Times New Roman" w:eastAsia="Times New Roman" w:hAnsi="Times New Roman"/>
              <w:b w:val="1"/>
              <w:color w:val="1e1e1e"/>
              <w:sz w:val="24"/>
              <w:szCs w:val="24"/>
              <w:rtl w:val="0"/>
            </w:rPr>
            <w:t xml:space="preserve">HEMŞİRELİK BÖLÜMÜ</w:t>
          </w:r>
          <w:r w:rsidDel="00000000" w:rsidR="00000000" w:rsidRPr="00000000">
            <w:rPr>
              <w:rtl w:val="0"/>
            </w:rPr>
          </w:r>
        </w:p>
        <w:p w:rsidR="00000000" w:rsidDel="00000000" w:rsidP="00000000" w:rsidRDefault="00000000" w:rsidRPr="00000000" w14:paraId="00000049">
          <w:pPr>
            <w:shd w:fill="ffffff" w:val="clear"/>
            <w:spacing w:after="0" w:before="0" w:line="276" w:lineRule="auto"/>
            <w:ind w:firstLine="0"/>
            <w:jc w:val="center"/>
            <w:rPr>
              <w:rFonts w:ascii="Times New Roman" w:cs="Times New Roman" w:eastAsia="Times New Roman" w:hAnsi="Times New Roman"/>
              <w:b w:val="1"/>
              <w:color w:val="1e1e1e"/>
              <w:sz w:val="28"/>
              <w:szCs w:val="28"/>
            </w:rPr>
          </w:pPr>
          <w:r w:rsidDel="00000000" w:rsidR="00000000" w:rsidRPr="00000000">
            <w:rPr>
              <w:rFonts w:ascii="Times New Roman" w:cs="Times New Roman" w:eastAsia="Times New Roman" w:hAnsi="Times New Roman"/>
              <w:b w:val="1"/>
              <w:color w:val="1e1e1e"/>
              <w:sz w:val="24"/>
              <w:szCs w:val="24"/>
              <w:rtl w:val="0"/>
            </w:rPr>
            <w:t xml:space="preserve">İYİLEŞTİRME GELİŞTİRME KOMİSYONU YÖNERGESİ</w:t>
          </w:r>
          <w:r w:rsidDel="00000000" w:rsidR="00000000" w:rsidRPr="00000000">
            <w:rPr>
              <w:rtl w:val="0"/>
            </w:rPr>
          </w:r>
        </w:p>
      </w:tc>
      <w:tc>
        <w:tcPr/>
        <w:p w:rsidR="00000000" w:rsidDel="00000000" w:rsidP="00000000" w:rsidRDefault="00000000" w:rsidRPr="00000000" w14:paraId="0000004A">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Doküman No</w:t>
          </w:r>
        </w:p>
      </w:tc>
      <w:tc>
        <w:tcPr/>
        <w:p w:rsidR="00000000" w:rsidDel="00000000" w:rsidP="00000000" w:rsidRDefault="00000000" w:rsidRPr="00000000" w14:paraId="0000004B">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E">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Yayın Tarihi</w:t>
          </w:r>
        </w:p>
      </w:tc>
      <w:tc>
        <w:tcPr/>
        <w:p w:rsidR="00000000" w:rsidDel="00000000" w:rsidP="00000000" w:rsidRDefault="00000000" w:rsidRPr="00000000" w14:paraId="0000004F">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2">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Revizyon No</w:t>
          </w:r>
        </w:p>
      </w:tc>
      <w:tc>
        <w:tcPr/>
        <w:p w:rsidR="00000000" w:rsidDel="00000000" w:rsidP="00000000" w:rsidRDefault="00000000" w:rsidRPr="00000000" w14:paraId="00000053">
          <w:pPr>
            <w:tabs>
              <w:tab w:val="left" w:leader="none" w:pos="2056"/>
              <w:tab w:val="left" w:leader="none" w:pos="2536"/>
            </w:tabs>
            <w:spacing w:after="0" w:before="6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6">
          <w:pPr>
            <w:tabs>
              <w:tab w:val="left" w:leader="none" w:pos="2056"/>
              <w:tab w:val="left" w:leader="none" w:pos="2536"/>
            </w:tabs>
            <w:spacing w:after="0" w:before="60" w:line="240" w:lineRule="auto"/>
            <w:ind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Sayfa No</w:t>
          </w:r>
        </w:p>
      </w:tc>
      <w:tc>
        <w:tcPr/>
        <w:p w:rsidR="00000000" w:rsidDel="00000000" w:rsidP="00000000" w:rsidRDefault="00000000" w:rsidRPr="00000000" w14:paraId="00000057">
          <w:pPr>
            <w:tabs>
              <w:tab w:val="center" w:leader="none" w:pos="4536"/>
              <w:tab w:val="right" w:leader="none" w:pos="9072"/>
            </w:tabs>
            <w:spacing w:after="0" w:before="0" w:line="240" w:lineRule="auto"/>
            <w:ind w:left="29" w:hanging="1.000000000000000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8"/>
              <w:szCs w:val="18"/>
              <w:rtl w:val="0"/>
            </w:rPr>
            <w:t xml:space="preserve">/3</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4"/>
      <w:numFmt w:val="decimal"/>
      <w:lvlText w:val="%1."/>
      <w:lvlJc w:val="left"/>
      <w:pPr>
        <w:ind w:left="360" w:hanging="360"/>
      </w:pPr>
      <w:rPr/>
    </w:lvl>
    <w:lvl w:ilvl="1">
      <w:start w:val="1"/>
      <w:numFmt w:val="decimal"/>
      <w:lvlText w:val="%1.%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5"/>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6"/>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tr-TR"/>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261792"/>
  </w:style>
  <w:style w:type="paragraph" w:styleId="Balk1">
    <w:name w:val="heading 1"/>
    <w:basedOn w:val="Normal"/>
    <w:next w:val="Normal"/>
    <w:uiPriority w:val="9"/>
    <w:qFormat w:val="1"/>
    <w:pPr>
      <w:keepNext w:val="1"/>
      <w:keepLines w:val="1"/>
      <w:spacing w:before="480"/>
      <w:outlineLvl w:val="0"/>
    </w:pPr>
    <w:rPr>
      <w:b w:val="1"/>
      <w:sz w:val="48"/>
      <w:szCs w:val="48"/>
    </w:rPr>
  </w:style>
  <w:style w:type="paragraph" w:styleId="Bal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Bal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Bal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Balk5">
    <w:name w:val="heading 5"/>
    <w:basedOn w:val="Normal"/>
    <w:next w:val="Normal"/>
    <w:uiPriority w:val="9"/>
    <w:semiHidden w:val="1"/>
    <w:unhideWhenUsed w:val="1"/>
    <w:qFormat w:val="1"/>
    <w:pPr>
      <w:keepNext w:val="1"/>
      <w:keepLines w:val="1"/>
      <w:spacing w:after="40" w:before="220"/>
      <w:outlineLvl w:val="4"/>
    </w:pPr>
    <w:rPr>
      <w:b w:val="1"/>
    </w:rPr>
  </w:style>
  <w:style w:type="paragraph" w:styleId="Bal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261792"/>
    <w:pPr>
      <w:spacing w:after="100" w:afterAutospacing="1" w:before="100" w:beforeAutospacing="1" w:line="240" w:lineRule="auto"/>
      <w:ind w:firstLine="0"/>
      <w:jc w:val="left"/>
    </w:pPr>
    <w:rPr>
      <w:rFonts w:ascii="Times New Roman" w:cs="Times New Roman" w:eastAsia="Times New Roman" w:hAnsi="Times New Roman"/>
      <w:sz w:val="24"/>
      <w:szCs w:val="24"/>
    </w:rPr>
  </w:style>
  <w:style w:type="paragraph" w:styleId="ListeParagraf">
    <w:name w:val="List Paragraph"/>
    <w:basedOn w:val="Normal"/>
    <w:uiPriority w:val="1"/>
    <w:qFormat w:val="1"/>
    <w:rsid w:val="00261792"/>
    <w:pPr>
      <w:ind w:left="720"/>
      <w:contextualSpacing w:val="1"/>
    </w:pPr>
  </w:style>
  <w:style w:type="paragraph" w:styleId="stBilgi">
    <w:name w:val="header"/>
    <w:basedOn w:val="Normal"/>
    <w:link w:val="stBilgiChar"/>
    <w:uiPriority w:val="99"/>
    <w:unhideWhenUsed w:val="1"/>
    <w:rsid w:val="006A6149"/>
    <w:pPr>
      <w:tabs>
        <w:tab w:val="center" w:pos="4536"/>
        <w:tab w:val="right" w:pos="9072"/>
      </w:tabs>
      <w:spacing w:after="0" w:before="0" w:line="240" w:lineRule="auto"/>
    </w:pPr>
  </w:style>
  <w:style w:type="character" w:styleId="stBilgiChar" w:customStyle="1">
    <w:name w:val="Üst Bilgi Char"/>
    <w:basedOn w:val="VarsaylanParagrafYazTipi"/>
    <w:link w:val="stBilgi"/>
    <w:uiPriority w:val="99"/>
    <w:rsid w:val="006A6149"/>
  </w:style>
  <w:style w:type="paragraph" w:styleId="AltBilgi">
    <w:name w:val="footer"/>
    <w:basedOn w:val="Normal"/>
    <w:link w:val="AltBilgiChar"/>
    <w:uiPriority w:val="99"/>
    <w:unhideWhenUsed w:val="1"/>
    <w:rsid w:val="006A6149"/>
    <w:pPr>
      <w:tabs>
        <w:tab w:val="center" w:pos="4536"/>
        <w:tab w:val="right" w:pos="9072"/>
      </w:tabs>
      <w:spacing w:after="0" w:before="0" w:line="240" w:lineRule="auto"/>
    </w:pPr>
  </w:style>
  <w:style w:type="character" w:styleId="AltBilgiChar" w:customStyle="1">
    <w:name w:val="Alt Bilgi Char"/>
    <w:basedOn w:val="VarsaylanParagrafYazTipi"/>
    <w:link w:val="AltBilgi"/>
    <w:uiPriority w:val="99"/>
    <w:rsid w:val="006A6149"/>
  </w:style>
  <w:style w:type="character" w:styleId="AklamaBavurusu">
    <w:name w:val="annotation reference"/>
    <w:basedOn w:val="VarsaylanParagrafYazTipi"/>
    <w:uiPriority w:val="99"/>
    <w:semiHidden w:val="1"/>
    <w:unhideWhenUsed w:val="1"/>
    <w:rsid w:val="004C55D6"/>
    <w:rPr>
      <w:sz w:val="16"/>
      <w:szCs w:val="16"/>
    </w:rPr>
  </w:style>
  <w:style w:type="paragraph" w:styleId="AklamaMetni">
    <w:name w:val="annotation text"/>
    <w:basedOn w:val="Normal"/>
    <w:link w:val="AklamaMetniChar"/>
    <w:uiPriority w:val="99"/>
    <w:semiHidden w:val="1"/>
    <w:unhideWhenUsed w:val="1"/>
    <w:rsid w:val="004C55D6"/>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4C55D6"/>
    <w:rPr>
      <w:sz w:val="20"/>
      <w:szCs w:val="20"/>
    </w:rPr>
  </w:style>
  <w:style w:type="paragraph" w:styleId="AklamaKonusu">
    <w:name w:val="annotation subject"/>
    <w:basedOn w:val="AklamaMetni"/>
    <w:next w:val="AklamaMetni"/>
    <w:link w:val="AklamaKonusuChar"/>
    <w:uiPriority w:val="99"/>
    <w:semiHidden w:val="1"/>
    <w:unhideWhenUsed w:val="1"/>
    <w:rsid w:val="004C55D6"/>
    <w:rPr>
      <w:b w:val="1"/>
      <w:bCs w:val="1"/>
    </w:rPr>
  </w:style>
  <w:style w:type="character" w:styleId="AklamaKonusuChar" w:customStyle="1">
    <w:name w:val="Açıklama Konusu Char"/>
    <w:basedOn w:val="AklamaMetniChar"/>
    <w:link w:val="AklamaKonusu"/>
    <w:uiPriority w:val="99"/>
    <w:semiHidden w:val="1"/>
    <w:rsid w:val="004C55D6"/>
    <w:rPr>
      <w:b w:val="1"/>
      <w:bCs w:val="1"/>
      <w:sz w:val="20"/>
      <w:szCs w:val="20"/>
    </w:rPr>
  </w:style>
  <w:style w:type="paragraph" w:styleId="Altyaz">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15.0" w:type="dxa"/>
        <w:right w:w="115.0" w:type="dxa"/>
      </w:tblCellMar>
    </w:tblPr>
  </w:style>
  <w:style w:type="paragraph" w:styleId="BalonMetni">
    <w:name w:val="Balloon Text"/>
    <w:basedOn w:val="Normal"/>
    <w:link w:val="BalonMetniChar"/>
    <w:uiPriority w:val="99"/>
    <w:semiHidden w:val="1"/>
    <w:unhideWhenUsed w:val="1"/>
    <w:rsid w:val="000C133E"/>
    <w:pPr>
      <w:spacing w:after="0" w:before="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0C133E"/>
    <w:rPr>
      <w:rFonts w:ascii="Segoe UI" w:cs="Segoe UI" w:hAnsi="Segoe UI"/>
      <w:sz w:val="18"/>
      <w:szCs w:val="18"/>
    </w:r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dpmc6sf7DVvt8n2ty+rLd7mUA==">CgMxLjA4AHIhMTBqOUhDTGNtUEpXdHA5RkNHaktQY1ZZbXZYOTBPckF0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2024-07-12T06:12:00Z</dcterms:created>
  <dc:creator>Sevim Sen</dc:creator>
</cp:coreProperties>
</file>