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BİRİNCİ BÖLÜM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AMAÇ, KAPSAM, DAYANAK VE TANIMLAR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ind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AMAÇ VE KAPSAM</w:t>
      </w:r>
    </w:p>
    <w:p w:rsidR="00000000" w:rsidDel="00000000" w:rsidP="00000000" w:rsidRDefault="00000000" w:rsidRPr="00000000" w14:paraId="00000007">
      <w:pPr>
        <w:ind w:firstLine="0"/>
        <w:rPr>
          <w:rFonts w:ascii="Times New Roman" w:cs="Times New Roman" w:eastAsia="Times New Roman" w:hAnsi="Times New Roman"/>
          <w:sz w:val="18"/>
          <w:szCs w:val="18"/>
        </w:rPr>
      </w:pPr>
      <w:bookmarkStart w:colFirst="0" w:colLast="0" w:name="_heading=h.gjdgxs" w:id="0"/>
      <w:bookmarkEnd w:id="0"/>
      <w:r w:rsidDel="00000000" w:rsidR="00000000" w:rsidRPr="00000000">
        <w:rPr>
          <w:rFonts w:ascii="Times New Roman" w:cs="Times New Roman" w:eastAsia="Times New Roman" w:hAnsi="Times New Roman"/>
          <w:b w:val="1"/>
          <w:sz w:val="18"/>
          <w:szCs w:val="18"/>
          <w:rtl w:val="0"/>
        </w:rPr>
        <w:t xml:space="preserve">Madde 1: </w:t>
      </w:r>
      <w:r w:rsidDel="00000000" w:rsidR="00000000" w:rsidRPr="00000000">
        <w:rPr>
          <w:rFonts w:ascii="Times New Roman" w:cs="Times New Roman" w:eastAsia="Times New Roman" w:hAnsi="Times New Roman"/>
          <w:sz w:val="18"/>
          <w:szCs w:val="18"/>
          <w:rtl w:val="0"/>
        </w:rPr>
        <w:t xml:space="preserve">Bu Yönerge Yeditepe Üniversitesi Sağlık Bilimleri Fakültesi Hemşirelik Bölümünde yer alan mesleki derslerin laboratuvar ve klinik uygulamalarının planlanması, yürütülmesi ve değerlendirilmesine ilişkin esasları (sorumluluk, ilke, kural ve yöntemleri) kapsar.</w:t>
      </w:r>
    </w:p>
    <w:p w:rsidR="00000000" w:rsidDel="00000000" w:rsidP="00000000" w:rsidRDefault="00000000" w:rsidRPr="00000000" w14:paraId="00000008">
      <w:pPr>
        <w:ind w:firstLine="0"/>
        <w:rPr>
          <w:rFonts w:ascii="Times New Roman" w:cs="Times New Roman" w:eastAsia="Times New Roman" w:hAnsi="Times New Roman"/>
          <w:sz w:val="18"/>
          <w:szCs w:val="18"/>
        </w:rPr>
      </w:pPr>
      <w:bookmarkStart w:colFirst="0" w:colLast="0" w:name="_heading=h.30j0zll" w:id="1"/>
      <w:bookmarkEnd w:id="1"/>
      <w:r w:rsidDel="00000000" w:rsidR="00000000" w:rsidRPr="00000000">
        <w:rPr>
          <w:rFonts w:ascii="Times New Roman" w:cs="Times New Roman" w:eastAsia="Times New Roman" w:hAnsi="Times New Roman"/>
          <w:b w:val="1"/>
          <w:sz w:val="18"/>
          <w:szCs w:val="18"/>
          <w:rtl w:val="0"/>
        </w:rPr>
        <w:t xml:space="preserve">Madde 2: </w:t>
      </w:r>
      <w:r w:rsidDel="00000000" w:rsidR="00000000" w:rsidRPr="00000000">
        <w:rPr>
          <w:rFonts w:ascii="Times New Roman" w:cs="Times New Roman" w:eastAsia="Times New Roman" w:hAnsi="Times New Roman"/>
          <w:sz w:val="18"/>
          <w:szCs w:val="18"/>
          <w:rtl w:val="0"/>
        </w:rPr>
        <w:t xml:space="preserve">Yeditepe Üniversitesi Sağlık Bilimleri Fakültesi Hemşirelik Bölümü öğrencileri laboratuvar ve klinik uygulamalarını eğitim öğretim programı kapsamında bu yönergede açıklandığı şekilde yapar. </w:t>
      </w:r>
    </w:p>
    <w:p w:rsidR="00000000" w:rsidDel="00000000" w:rsidP="00000000" w:rsidRDefault="00000000" w:rsidRPr="00000000" w14:paraId="00000009">
      <w:pPr>
        <w:ind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Madde 3: </w:t>
      </w:r>
      <w:r w:rsidDel="00000000" w:rsidR="00000000" w:rsidRPr="00000000">
        <w:rPr>
          <w:rFonts w:ascii="Times New Roman" w:cs="Times New Roman" w:eastAsia="Times New Roman" w:hAnsi="Times New Roman"/>
          <w:sz w:val="18"/>
          <w:szCs w:val="18"/>
          <w:rtl w:val="0"/>
        </w:rPr>
        <w:t xml:space="preserve">Yeditepe Üniversitesi Sağlık Bilimleri Fakültesi Hemşirelik Bölümü Laboratuvar ve Klinik Uygulama Komisyonu, öğrencilerin laboratuvar ve klinik uygulamalarının yönerge esaslarına uygun şekilde planlanmasını, yürütülmesini, değerlendirilmesini sağlamak ve gerekli iyileştirici önerileri almak ve faaliyetleri planlamak için komisyonun yapısı, yetkisi ve sorumluluğu ile ilgili çalışma esaslarını belirler ve Hemşirelik Bölümü’nün diğer komisyonları ile iş birliği yapar. </w:t>
      </w:r>
    </w:p>
    <w:p w:rsidR="00000000" w:rsidDel="00000000" w:rsidP="00000000" w:rsidRDefault="00000000" w:rsidRPr="00000000" w14:paraId="0000000A">
      <w:pPr>
        <w:ind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HUKUKİ DAYANAK</w:t>
      </w:r>
    </w:p>
    <w:p w:rsidR="00000000" w:rsidDel="00000000" w:rsidP="00000000" w:rsidRDefault="00000000" w:rsidRPr="00000000" w14:paraId="0000000B">
      <w:pPr>
        <w:ind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Madde 4:</w:t>
      </w:r>
      <w:r w:rsidDel="00000000" w:rsidR="00000000" w:rsidRPr="00000000">
        <w:rPr>
          <w:rFonts w:ascii="Times New Roman" w:cs="Times New Roman" w:eastAsia="Times New Roman" w:hAnsi="Times New Roman"/>
          <w:sz w:val="18"/>
          <w:szCs w:val="18"/>
          <w:rtl w:val="0"/>
        </w:rPr>
        <w:t xml:space="preserve"> Bu yönerge, 22.08. 2016 tarihinde güncellenen Yeditepe Üniversitesi Ön lisans ve Lisans Eğitim-Öğretim Yönetmeliği ve İl Sağlık Müdürlüğü ile yapılan Staj Protokolü esas alınarak hazırlanmıştır. </w:t>
      </w:r>
    </w:p>
    <w:p w:rsidR="00000000" w:rsidDel="00000000" w:rsidP="00000000" w:rsidRDefault="00000000" w:rsidRPr="00000000" w14:paraId="0000000C">
      <w:pPr>
        <w:ind w:firstLine="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TANIMLAR</w:t>
      </w:r>
    </w:p>
    <w:p w:rsidR="00000000" w:rsidDel="00000000" w:rsidP="00000000" w:rsidRDefault="00000000" w:rsidRPr="00000000" w14:paraId="0000000D">
      <w:pPr>
        <w:ind w:firstLine="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Madde 5:</w:t>
      </w:r>
      <w:r w:rsidDel="00000000" w:rsidR="00000000" w:rsidRPr="00000000">
        <w:rPr>
          <w:rFonts w:ascii="Times New Roman" w:cs="Times New Roman" w:eastAsia="Times New Roman" w:hAnsi="Times New Roman"/>
          <w:color w:val="000000"/>
          <w:sz w:val="18"/>
          <w:szCs w:val="18"/>
          <w:rtl w:val="0"/>
        </w:rPr>
        <w:t xml:space="preserve"> Bu yönergede geçen;</w:t>
      </w:r>
    </w:p>
    <w:p w:rsidR="00000000" w:rsidDel="00000000" w:rsidP="00000000" w:rsidRDefault="00000000" w:rsidRPr="00000000" w14:paraId="0000000E">
      <w:pPr>
        <w:ind w:firstLine="0"/>
        <w:rPr>
          <w:rFonts w:ascii="Times New Roman" w:cs="Times New Roman" w:eastAsia="Times New Roman" w:hAnsi="Times New Roman"/>
          <w:sz w:val="18"/>
          <w:szCs w:val="18"/>
          <w:u w:val="single"/>
        </w:rPr>
      </w:pPr>
      <w:bookmarkStart w:colFirst="0" w:colLast="0" w:name="_heading=h.1fob9te" w:id="2"/>
      <w:bookmarkEnd w:id="2"/>
      <w:r w:rsidDel="00000000" w:rsidR="00000000" w:rsidRPr="00000000">
        <w:rPr>
          <w:rFonts w:ascii="Times New Roman" w:cs="Times New Roman" w:eastAsia="Times New Roman" w:hAnsi="Times New Roman"/>
          <w:b w:val="1"/>
          <w:color w:val="000000"/>
          <w:sz w:val="18"/>
          <w:szCs w:val="18"/>
          <w:u w:val="single"/>
          <w:rtl w:val="0"/>
        </w:rPr>
        <w:t xml:space="preserve">a) Laboratuvar Uygulaması:</w:t>
      </w:r>
      <w:r w:rsidDel="00000000" w:rsidR="00000000" w:rsidRPr="00000000">
        <w:rPr>
          <w:rFonts w:ascii="Times New Roman" w:cs="Times New Roman" w:eastAsia="Times New Roman" w:hAnsi="Times New Roman"/>
          <w:sz w:val="18"/>
          <w:szCs w:val="18"/>
          <w:rtl w:val="0"/>
        </w:rPr>
        <w:t xml:space="preserve"> Dönem içi derslerde anlatılan mesleki becerilerin maket ve modeller ile öğrencilere yaptırılan uygulamaları,</w:t>
      </w:r>
      <w:r w:rsidDel="00000000" w:rsidR="00000000" w:rsidRPr="00000000">
        <w:rPr>
          <w:rtl w:val="0"/>
        </w:rPr>
      </w:r>
    </w:p>
    <w:p w:rsidR="00000000" w:rsidDel="00000000" w:rsidP="00000000" w:rsidRDefault="00000000" w:rsidRPr="00000000" w14:paraId="0000000F">
      <w:pPr>
        <w:ind w:firstLine="0"/>
        <w:rPr>
          <w:rFonts w:ascii="Times New Roman" w:cs="Times New Roman" w:eastAsia="Times New Roman" w:hAnsi="Times New Roman"/>
          <w:color w:val="000000"/>
          <w:sz w:val="18"/>
          <w:szCs w:val="18"/>
          <w:u w:val="single"/>
        </w:rPr>
      </w:pPr>
      <w:r w:rsidDel="00000000" w:rsidR="00000000" w:rsidRPr="00000000">
        <w:rPr>
          <w:rFonts w:ascii="Times New Roman" w:cs="Times New Roman" w:eastAsia="Times New Roman" w:hAnsi="Times New Roman"/>
          <w:b w:val="1"/>
          <w:color w:val="000000"/>
          <w:sz w:val="18"/>
          <w:szCs w:val="18"/>
          <w:u w:val="single"/>
          <w:rtl w:val="0"/>
        </w:rPr>
        <w:t xml:space="preserve">b) Klinik Uygulama/ staj:</w:t>
      </w:r>
      <w:r w:rsidDel="00000000" w:rsidR="00000000" w:rsidRPr="00000000">
        <w:rPr>
          <w:rFonts w:ascii="Times New Roman" w:cs="Times New Roman" w:eastAsia="Times New Roman" w:hAnsi="Times New Roman"/>
          <w:color w:val="000000"/>
          <w:sz w:val="18"/>
          <w:szCs w:val="18"/>
          <w:rtl w:val="0"/>
        </w:rPr>
        <w:t xml:space="preserve"> Mesleki bilginin beceri, tutum ve davranışa dönüştürülmesine yönelik 5-e-maddesinde dış paydaşlar olarak belirtilen kurumlarda, hemşirelik anabilim dalları ile ilgili derslerin uygulaması olarak yapılan mesleki çalışmayı,</w:t>
      </w:r>
      <w:r w:rsidDel="00000000" w:rsidR="00000000" w:rsidRPr="00000000">
        <w:rPr>
          <w:rtl w:val="0"/>
        </w:rPr>
      </w:r>
    </w:p>
    <w:p w:rsidR="00000000" w:rsidDel="00000000" w:rsidP="00000000" w:rsidRDefault="00000000" w:rsidRPr="00000000" w14:paraId="00000010">
      <w:pPr>
        <w:ind w:firstLine="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u w:val="single"/>
          <w:rtl w:val="0"/>
        </w:rPr>
        <w:t xml:space="preserve">c) Yaz stajı:</w:t>
      </w:r>
      <w:r w:rsidDel="00000000" w:rsidR="00000000" w:rsidRPr="00000000">
        <w:rPr>
          <w:rFonts w:ascii="Times New Roman" w:cs="Times New Roman" w:eastAsia="Times New Roman" w:hAnsi="Times New Roman"/>
          <w:color w:val="000000"/>
          <w:sz w:val="18"/>
          <w:szCs w:val="18"/>
          <w:rtl w:val="0"/>
        </w:rPr>
        <w:t xml:space="preserve"> Cerrahi Hastalıkları, İç hastalıkları, Kadın Sağlığı ve Doğum ve Çocuk Sağlığı ve Hastalıkları Hemşireliği alanlarından en az birinde bakım ve tedavi sunan, en az 100 ve üzeri yatak kapasitesine sahip, eğitim veya genel hastane statüsünde olan ve tercihen akredite edilmiş sağlık kurumlarında, NHS 405 Yaz Stajı dersi kapsamında yaz döneminde ardışık 21 iş günü yapılan uygulamayı,</w:t>
      </w:r>
    </w:p>
    <w:p w:rsidR="00000000" w:rsidDel="00000000" w:rsidP="00000000" w:rsidRDefault="00000000" w:rsidRPr="00000000" w14:paraId="00000011">
      <w:pPr>
        <w:ind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u w:val="single"/>
          <w:rtl w:val="0"/>
        </w:rPr>
        <w:t xml:space="preserve">d) İntörnlük Uygulaması:</w:t>
      </w:r>
      <w:r w:rsidDel="00000000" w:rsidR="00000000" w:rsidRPr="00000000">
        <w:rPr>
          <w:rFonts w:ascii="Times New Roman" w:cs="Times New Roman" w:eastAsia="Times New Roman" w:hAnsi="Times New Roman"/>
          <w:sz w:val="18"/>
          <w:szCs w:val="18"/>
          <w:rtl w:val="0"/>
        </w:rPr>
        <w:t xml:space="preserve"> Hemşirelik Bölümü’nde mesleki derslerini tamamlayan öğrencinin NHS 402 Klinik Çalışma dersi kapsamında bölüm tarafından belirlenen ve İl Sağlık Müdürlüğü’ne bağlı kurumlarda ya da özel hastanelerde haftada 3 iş günü ve akademik takvim doğrultusunda toplam 14/15 hafta yapılan uygulamayı,</w:t>
      </w:r>
    </w:p>
    <w:p w:rsidR="00000000" w:rsidDel="00000000" w:rsidP="00000000" w:rsidRDefault="00000000" w:rsidRPr="00000000" w14:paraId="00000012">
      <w:pPr>
        <w:ind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u w:val="single"/>
          <w:rtl w:val="0"/>
        </w:rPr>
        <w:t xml:space="preserve">e) Dış paydaş</w:t>
      </w:r>
      <w:r w:rsidDel="00000000" w:rsidR="00000000" w:rsidRPr="00000000">
        <w:rPr>
          <w:rFonts w:ascii="Times New Roman" w:cs="Times New Roman" w:eastAsia="Times New Roman" w:hAnsi="Times New Roman"/>
          <w:sz w:val="18"/>
          <w:szCs w:val="18"/>
          <w:u w:val="single"/>
          <w:rtl w:val="0"/>
        </w:rPr>
        <w:t xml:space="preserve">: </w:t>
      </w:r>
      <w:r w:rsidDel="00000000" w:rsidR="00000000" w:rsidRPr="00000000">
        <w:rPr>
          <w:rFonts w:ascii="Times New Roman" w:cs="Times New Roman" w:eastAsia="Times New Roman" w:hAnsi="Times New Roman"/>
          <w:sz w:val="18"/>
          <w:szCs w:val="18"/>
          <w:rtl w:val="0"/>
        </w:rPr>
        <w:t xml:space="preserve">Klinik uygulama yapılan İl Sağlık Müdürlüğü’ne bağlı sağlık hizmeti veren kurumları, özel hastaneleri, huzurevlerini, yaşlı bakım merkezlerini, vakıflar/ dernekleri, eğitim ve özel eğitim kurumlarını, fabrikalar ve iş yerlerini,</w:t>
      </w:r>
    </w:p>
    <w:p w:rsidR="00000000" w:rsidDel="00000000" w:rsidP="00000000" w:rsidRDefault="00000000" w:rsidRPr="00000000" w14:paraId="00000013">
      <w:pPr>
        <w:ind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u w:val="single"/>
          <w:rtl w:val="0"/>
        </w:rPr>
        <w:t xml:space="preserve">f) Ders Öğretim Elemanı: </w:t>
      </w:r>
      <w:r w:rsidDel="00000000" w:rsidR="00000000" w:rsidRPr="00000000">
        <w:rPr>
          <w:rFonts w:ascii="Times New Roman" w:cs="Times New Roman" w:eastAsia="Times New Roman" w:hAnsi="Times New Roman"/>
          <w:sz w:val="18"/>
          <w:szCs w:val="18"/>
          <w:rtl w:val="0"/>
        </w:rPr>
        <w:t xml:space="preserve">Akademik dönemlere uygun haftalık ders programında o dersin yürütülmesinden sorumlu öğretim elemanını,</w:t>
      </w:r>
    </w:p>
    <w:p w:rsidR="00000000" w:rsidDel="00000000" w:rsidP="00000000" w:rsidRDefault="00000000" w:rsidRPr="00000000" w14:paraId="00000014">
      <w:pPr>
        <w:ind w:firstLine="0"/>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e) Klinik Öğretim Elemanı</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Dersin sorumlu öğretim üye/elemanı ile koordineli bir şekilde belirlenen uygulama alanlarında öğrenci hemşire ile birebir çalışılmasını sağlayan, klinik uygulama hedeflerinin uygulanması, yürütülmesi ve değerlendirilmesinden sorumlu olan dersin öğretim elemanı, araştırma görevlisi ve lisansüstü bursiyeri,</w:t>
      </w:r>
      <w:r w:rsidDel="00000000" w:rsidR="00000000" w:rsidRPr="00000000">
        <w:rPr>
          <w:rtl w:val="0"/>
        </w:rPr>
      </w:r>
    </w:p>
    <w:p w:rsidR="00000000" w:rsidDel="00000000" w:rsidP="00000000" w:rsidRDefault="00000000" w:rsidRPr="00000000" w14:paraId="00000015">
      <w:pPr>
        <w:ind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u w:val="single"/>
          <w:rtl w:val="0"/>
        </w:rPr>
        <w:t xml:space="preserve">f) Klinik Rehber Hemşire:</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Klinik uygulama alanında çalışan, öğrencinin öğrenmesini kolaylaştıran, mesleki gelişimini destekleyen, öğrenciyi değerlendiren, Klinik Rehber Hemşire Eğitimi programını başarı ile tamamlayan klinik eğitim hemşiresi ya da sorumlu hemşireyi,</w:t>
      </w:r>
    </w:p>
    <w:p w:rsidR="00000000" w:rsidDel="00000000" w:rsidP="00000000" w:rsidRDefault="00000000" w:rsidRPr="00000000" w14:paraId="00000016">
      <w:pPr>
        <w:ind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u w:val="single"/>
          <w:rtl w:val="0"/>
        </w:rPr>
        <w:t xml:space="preserve">g) Komisyon:</w:t>
      </w:r>
      <w:r w:rsidDel="00000000" w:rsidR="00000000" w:rsidRPr="00000000">
        <w:rPr>
          <w:rFonts w:ascii="Times New Roman" w:cs="Times New Roman" w:eastAsia="Times New Roman" w:hAnsi="Times New Roman"/>
          <w:sz w:val="18"/>
          <w:szCs w:val="18"/>
          <w:rtl w:val="0"/>
        </w:rPr>
        <w:t xml:space="preserve"> Laboratuvar ve Klinik Uygulama Komisyonunu, </w:t>
      </w:r>
    </w:p>
    <w:p w:rsidR="00000000" w:rsidDel="00000000" w:rsidP="00000000" w:rsidRDefault="00000000" w:rsidRPr="00000000" w14:paraId="00000017">
      <w:pPr>
        <w:ind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ifade eder.</w:t>
      </w:r>
    </w:p>
    <w:p w:rsidR="00000000" w:rsidDel="00000000" w:rsidP="00000000" w:rsidRDefault="00000000" w:rsidRPr="00000000" w14:paraId="00000018">
      <w:pPr>
        <w:ind w:left="708" w:firstLine="0.9999999999999432"/>
        <w:jc w:val="center"/>
        <w:rPr>
          <w:rFonts w:ascii="Times New Roman" w:cs="Times New Roman" w:eastAsia="Times New Roman" w:hAnsi="Times New Roman"/>
          <w:b w:val="1"/>
          <w:sz w:val="18"/>
          <w:szCs w:val="18"/>
        </w:rPr>
      </w:pPr>
      <w:bookmarkStart w:colFirst="0" w:colLast="0" w:name="_heading=h.3znysh7" w:id="3"/>
      <w:bookmarkEnd w:id="3"/>
      <w:r w:rsidDel="00000000" w:rsidR="00000000" w:rsidRPr="00000000">
        <w:rPr>
          <w:rFonts w:ascii="Times New Roman" w:cs="Times New Roman" w:eastAsia="Times New Roman" w:hAnsi="Times New Roman"/>
          <w:b w:val="1"/>
          <w:sz w:val="18"/>
          <w:szCs w:val="18"/>
          <w:rtl w:val="0"/>
        </w:rPr>
        <w:t xml:space="preserve">İKİNCİ BÖLÜM</w:t>
      </w:r>
    </w:p>
    <w:p w:rsidR="00000000" w:rsidDel="00000000" w:rsidP="00000000" w:rsidRDefault="00000000" w:rsidRPr="00000000" w14:paraId="00000019">
      <w:pPr>
        <w:ind w:left="708" w:firstLine="0.9999999999999432"/>
        <w:jc w:val="center"/>
        <w:rPr>
          <w:rFonts w:ascii="Times New Roman" w:cs="Times New Roman" w:eastAsia="Times New Roman" w:hAnsi="Times New Roman"/>
          <w:b w:val="1"/>
          <w:sz w:val="18"/>
          <w:szCs w:val="18"/>
        </w:rPr>
      </w:pPr>
      <w:bookmarkStart w:colFirst="0" w:colLast="0" w:name="_heading=h.2et92p0" w:id="4"/>
      <w:bookmarkEnd w:id="4"/>
      <w:r w:rsidDel="00000000" w:rsidR="00000000" w:rsidRPr="00000000">
        <w:rPr>
          <w:rFonts w:ascii="Times New Roman" w:cs="Times New Roman" w:eastAsia="Times New Roman" w:hAnsi="Times New Roman"/>
          <w:b w:val="1"/>
          <w:sz w:val="18"/>
          <w:szCs w:val="18"/>
          <w:rtl w:val="0"/>
        </w:rPr>
        <w:t xml:space="preserve">LABORATUVAR UYGULAMASININ PLANLANMASI, YÜRÜTÜLMESİ VE DEĞERLENDİRİLMESİNE İLİŞKİN ESASLAR</w:t>
      </w:r>
    </w:p>
    <w:p w:rsidR="00000000" w:rsidDel="00000000" w:rsidP="00000000" w:rsidRDefault="00000000" w:rsidRPr="00000000" w14:paraId="0000001A">
      <w:pPr>
        <w:ind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Madde 6: </w:t>
      </w:r>
      <w:r w:rsidDel="00000000" w:rsidR="00000000" w:rsidRPr="00000000">
        <w:rPr>
          <w:rFonts w:ascii="Times New Roman" w:cs="Times New Roman" w:eastAsia="Times New Roman" w:hAnsi="Times New Roman"/>
          <w:sz w:val="18"/>
          <w:szCs w:val="18"/>
          <w:rtl w:val="0"/>
        </w:rPr>
        <w:t xml:space="preserve">Bu maddede Laboratuvar uygulamasının planlanması, yürütülmesi ve değerlendirilmesine ilişkin esaslar açıklanmıştır.</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120" w:line="360" w:lineRule="auto"/>
        <w:ind w:left="360" w:right="0" w:hanging="36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Laboratuvar Uygulamasının Planlanması</w:t>
      </w:r>
    </w:p>
    <w:p w:rsidR="00000000" w:rsidDel="00000000" w:rsidP="00000000" w:rsidRDefault="00000000" w:rsidRPr="00000000" w14:paraId="000000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Hemşirelik beceri laboratuvarı tüm hemşirelik anabilim dallarının kullanımı için düzenlenmiştir. </w:t>
      </w:r>
    </w:p>
    <w:p w:rsidR="00000000" w:rsidDel="00000000" w:rsidP="00000000" w:rsidRDefault="00000000" w:rsidRPr="00000000" w14:paraId="000000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Derslerin laboratuvar uygulama saatleri dönem başında ders izlencesinde belirtilmelidir. </w:t>
      </w:r>
    </w:p>
    <w:p w:rsidR="00000000" w:rsidDel="00000000" w:rsidP="00000000" w:rsidRDefault="00000000" w:rsidRPr="00000000" w14:paraId="0000001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Dersin öğretim elemanı laboratuvarı kullanmak istediği saati laboratuvar sorumlusuna bildirir ve uygunluğunu teyit eder. </w:t>
      </w:r>
    </w:p>
    <w:p w:rsidR="00000000" w:rsidDel="00000000" w:rsidP="00000000" w:rsidRDefault="00000000" w:rsidRPr="00000000" w14:paraId="0000001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Laboratuvar Uygulamasının Yürütülmesi</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Yapılacak uygulama için gerekli malzemenin hazırlanmasından ve kullanım sonrası temizlenmesinden ilgili dersin öğretim elemanının görevlendirdiği dersin sorumlu öğrencisi ya da klinik öğretim elemanı sorumlu olur.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Her öğrenci laboratuvarda bulunan maket ve demirbaş malzemelere zarar vermeyecek şekilde kullanmaktan, temizliğinin ve düzeninin sağlanmasından sorumludur.</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Laboratuvardaki demirbaş malzemeler ve cihazların aralıklı takibi, bakımlarının yapılması ve ilgili kayıt tutulması ve malzemelerin tedariki laboratuvar sorumlusunun görevidir.</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Laboratuvar uygulamaları beceri gruplarına göre yapıldığından belirtilen saatten geç gelen öğrenci uygulamaya alınmaz ve geç kaldığı beceri grubu uygulaması süresince devamsız sayılır.</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NHS 102 Hemşirelikte Temel İlke 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Uygulamalar 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dersinin beceri listesinde tanımlanan tüm uygulamaları tamamlaması zorunludur. Bu koşulu yerine getirmeyen veya bu dersin laboratuvar değerlendirme sınavında 100 puan üzerinden 50</w:t>
      </w:r>
      <w:r w:rsidDel="00000000" w:rsidR="00000000" w:rsidRPr="00000000">
        <w:rPr>
          <w:rFonts w:ascii="Times New Roman" w:cs="Times New Roman" w:eastAsia="Times New Roman" w:hAnsi="Times New Roman"/>
          <w:b w:val="1"/>
          <w:i w:val="0"/>
          <w:smallCaps w:val="0"/>
          <w:strike w:val="0"/>
          <w:color w:val="6d9eeb"/>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puanın altında alan öğrenci, dersin bitirme sınavına giremez.</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Öğrenci izin almadan laboratuvar ortamından ayrılamaz.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Laboratuvarda herhangi bir şey yenilip, içilemez.</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Laboratuvarda beyaz önlük giyilmesi zorunludur. Öğrenci, gerekli durumlarda kendi Kişisel Koruyucu Ekipmanlarını (maske, eldiven, siperlik vb.) temin etmek ve gerektiği gibi kullanmak durumundadır.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Laboratuvar Uygulamasının Değerlendirilmesi</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Laboratuvar uygulamaları, ders öğretim elemanının ders izlencesinde belirttiği ölçme değerlendirme yöntemi ile değerlendirilir.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Laboratuvar uygulama sınavı, Yeditepe Üniversitesi Ön lisans ve Lisans Eğitim-Öğretim Yönetmeliğindeki sınav esasları doğrultusunda gerçekleştirilir. </w:t>
      </w:r>
    </w:p>
    <w:p w:rsidR="00000000" w:rsidDel="00000000" w:rsidP="00000000" w:rsidRDefault="00000000" w:rsidRPr="00000000" w14:paraId="0000002B">
      <w:pPr>
        <w:ind w:left="708" w:firstLine="0.9999999999999432"/>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ÜÇÜNCÜ BÖLÜM</w:t>
      </w:r>
    </w:p>
    <w:p w:rsidR="00000000" w:rsidDel="00000000" w:rsidP="00000000" w:rsidRDefault="00000000" w:rsidRPr="00000000" w14:paraId="0000002C">
      <w:pPr>
        <w:ind w:left="708" w:firstLine="0.9999999999999432"/>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KLİNİK UYGULAMANIN PLANLANMASI, YÜRÜTÜLMESİ VE DEĞERLENDİRİLMESİNE İLİŞKİN ESASLAR</w:t>
      </w:r>
    </w:p>
    <w:p w:rsidR="00000000" w:rsidDel="00000000" w:rsidP="00000000" w:rsidRDefault="00000000" w:rsidRPr="00000000" w14:paraId="0000002D">
      <w:pPr>
        <w:ind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Madde 7: </w:t>
      </w:r>
      <w:r w:rsidDel="00000000" w:rsidR="00000000" w:rsidRPr="00000000">
        <w:rPr>
          <w:rFonts w:ascii="Times New Roman" w:cs="Times New Roman" w:eastAsia="Times New Roman" w:hAnsi="Times New Roman"/>
          <w:sz w:val="18"/>
          <w:szCs w:val="18"/>
          <w:rtl w:val="0"/>
        </w:rPr>
        <w:t xml:space="preserve">Bu maddede Klinik uygulamaların planlanması, yürütülmesi ve değerlendirilmesine ilişkin esaslar açıklanmıştır. Klinik uygulamalar, Yeditepe Üniversitesi Sağlık Bilimleri Fakültesi Hemşirelik Bölümü Müfredatı doğrultusunda yürütülür.</w:t>
      </w:r>
    </w:p>
    <w:p w:rsidR="00000000" w:rsidDel="00000000" w:rsidP="00000000" w:rsidRDefault="00000000" w:rsidRPr="00000000" w14:paraId="0000002E">
      <w:pPr>
        <w:ind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7.1. Klinik Uygulamanın Planlanması</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Her eğitim öğretim yılında üniversite tarafından belirlenen akademik takvime uygun olarak ilgili derslerin klinik uygulama tarihleri belirlenir.</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Klinik uygulamalar Hemşirelik Bölümü öğretim üye/elemanları tarafından uygun görülen Yeditepe Üniversitesi Hastaneleri, diğer kamu ve özel kuruluşlarda yapılır. Klinik uygulama alanları dersin ilgili öğretim üye/elemanınca seçilir ve planlanır. Klinik uygulama alanlarıyla ilgili tüm resmi işlemlerden laboratuvar ve klinik uygulama komisyonu sorumludur. </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Yaz stajı için öğrenciler madde 5.c de belirtilen kurallara uygun staj yerlerini kendileri belirleyebilir. Bu konudaki talepler 6.cı dönemin ilan edilen tarihinde toplanır. Yeditepe Üniversitesi İnsan Kaynakları Birimi tarafından verilen staj kabul formunu komisyona iletir. Komisyon ders programının amaçlarına uygunluğunu değerlendirerek öğrencilerin belirledikleri staj yerlerini kabul veya reddedebilir.</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Komisyon, klinik uygulamaya çıkacak olan öğrencilerin isimlerini ön staj listesine ekler. Öğrencilere duyurur ve isimler netleştirilerek her ders için klinik uygulamaya çıkacak öğrenci sayısı kesinleştirilir. </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İlgili birimlerle gerekli yazışmalar ‘Klinik uygulamaların düzenlenmesi iş akış şeması,’ doğrultusunda gerçekleştirilir.</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Zorunlu staja çıkacak tüm öğrencilerin Sosyal Güvenlik Kurumu (SGK) girişleri Yeditepe Üniversitesi İnsan Kaynakları Birimi ile laboratuvar ve klinik uygulama komisyonu tarafından yürütülür. Sigorta süreci için gerekli belgelerin duyurulması, toplanması ve takibinden komisyon sorumludur.</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İş Sağlığı ve Meslek Hastalıkları Sigortası için gerekli belgeler, Hemşirelik Bölümü İş Sağlığı ve Meslek Hastalıkları Staj Sigortaları Kılavuzunda mevcuttur.</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Öğrencilerin staja çıkmadan önce İşyeri Sağlık ve Güvenlik Birimi tarafından 8 saatlik “Temel İş Sağlığı” ve 8 saatlik “Temel İş Güvenliği” konulu eğitim düzenlenir. Komisyon bu eğitimin 2. Dönemini bitiren tüm öğrencileri verilebilmesi İşyeri Sağlık ve Güvenlik Birimi ile uygun bir tarih ayarlayarak öğrencilerin eğitim almasını sağlar (</w:t>
      </w:r>
      <w:r w:rsidDel="00000000" w:rsidR="00000000" w:rsidRPr="00000000">
        <w:rPr>
          <w:rFonts w:ascii="Times New Roman" w:cs="Times New Roman" w:eastAsia="Times New Roman" w:hAnsi="Times New Roman"/>
          <w:sz w:val="18"/>
          <w:szCs w:val="18"/>
          <w:rtl w:val="0"/>
        </w:rPr>
        <w:t xml:space="preserve">bkz</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ek 2).</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Komisyon, Kamu Hastaneleri dışında zorunlu stajına Özel hastaneler, Huzurevleri, Bakım Merkezleri, Derneklerde çıkacak öğrencilerin staj ayarlamalarını yapabilmek için ilgili kurumların Hemşirelik ve Bakım Hizmetleri Müdürlükleri, Kurum Müdürleri, Eğitim Hemşireleri, Staj Birimleri ya da İnsan Kaynakları ile iletişime geçerek sözel izinlerin ardından yazılı izinlerin hazırlanmasını sağlar.</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Çift Anadal (ÇAP) ve Yan Dal yapan öğrencilerin staj uygulamaları hususu ÇAP ve </w:t>
      </w:r>
      <w:r w:rsidDel="00000000" w:rsidR="00000000" w:rsidRPr="00000000">
        <w:rPr>
          <w:rFonts w:ascii="Times New Roman" w:cs="Times New Roman" w:eastAsia="Times New Roman" w:hAnsi="Times New Roman"/>
          <w:sz w:val="18"/>
          <w:szCs w:val="18"/>
          <w:rtl w:val="0"/>
        </w:rPr>
        <w:t xml:space="preserve">Yandal</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yönergelerinden belirtilen esaslara uygun şekilde yürütülür.</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Klinik uygulamalı derslerde akademik takvimde belirtilen ders başlangıç tarihinden itibaren devamsızlık takibi yapılmaktadır. Bu nedenle Add-Drop dönemi beklenmeden ders kaydı yapılmalıdır.  </w:t>
      </w:r>
    </w:p>
    <w:p w:rsidR="00000000" w:rsidDel="00000000" w:rsidP="00000000" w:rsidRDefault="00000000" w:rsidRPr="00000000" w14:paraId="0000003A">
      <w:pPr>
        <w:ind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7.2.Klinik Uygulamanın Yürütülmesi</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Laboratuvar ve Klinik Uygulama Komisyonu, Yeditepe Üniversitesi Sağlık Bilimleri Fakültesi Hemşirelik Bölümü ilkeleri doğrultusunda Hemşirelik anabilim dallarının ilgili dersin öğretim elemanı ile koordineli olarak klinik uygulama sürecini takip eder. </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Ayrıca komisyon klinik uygulamaya giden öğrencilerin uygulamalar esnasında yaşadıkları konularla ilgili danışacakları bir üst kurul olarak çalışır. </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Klinik uygulama alanlarında öğrencilerin kliniklere dağıtımından ve rotasyonundan Hemşirelik anabilim dallarının ilgili ders öğretim elemanı sorumludur.</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Öğrenci klinikteki uygulamaları yalnızca klinik öğretim elemanı, klinik hemşiresi veya klinik rehber hemşiresinin denetiminde gerçekleştirir.</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Klinik uygulamaya devam zorunludur. Devam durumu Yeditepe Üniversitesi Önlisans ve Lisans Eğitim, Öğretim ve Sınav Yönetmeliğinin 24. maddesi gereğince yürütülür. Klinik uygulamaya katılamayacak olan öğrenci, klinik öğretim elemanına mazeretini önceden bildirmek zorundadır.</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Olağanüstü hallerde, devamsızlık süresinin aşılması durumunda telafi uygulaması için öğrencinin resmi başvurusu Hemşirelik Bölüm Kurulu tarafından değerlendirilir. Telafi yapılacak gün sayısı, toplam dersin klinik uygulamasının %20 sini aşamaz.</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Öğrenci klinik uygulamaya çıktığı kliniğin/ kurumun ve bölümümüzün klinik uygulama kurallarına uygun davranmak zorundadır. </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Öğrenci aldığı dersin klinik uygulaması sırasında yaptığı becerileri Öğrenci Uygulama Karnesinin 2. Bölüm 5. Madde doğrultusunda kayıt altına almakla sorumludur. </w:t>
      </w:r>
      <w:r w:rsidDel="00000000" w:rsidR="00000000" w:rsidRPr="00000000">
        <w:rPr>
          <w:rtl w:val="0"/>
        </w:rPr>
      </w:r>
    </w:p>
    <w:p w:rsidR="00000000" w:rsidDel="00000000" w:rsidP="00000000" w:rsidRDefault="00000000" w:rsidRPr="00000000" w14:paraId="00000043">
      <w:pPr>
        <w:ind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7.3.Klinik Uygulamanın Değerlendirilmesi</w:t>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Klinik uygulamalar sırasında klinik öğretim elemanı tarafından tutulan kayıtlar, öğrencilerin vaka / seminer sunumları, klinik uygulama ile ilgili raporları, ödevleri ders izlencesinde belirtilen ölçme ve değerlendirme sistemi ve öğrenci karnesinde yer alan parametreler doğrultusunda değerlendirilir.</w:t>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Klinik uygulama değerlendirilmesinde kullanılan tüm belgeler ve Öğrenci Uygulama Karnesi, belirtilen zamanda öğretim üye/elemanına teslim edilmelidir. Klinik uygulama ile ilgili dokümanlarını teslim etmeyen öğrencilerin uygulamasına ilişkin değerlendirmesi yapılamayacaktır. </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Klinik uygulamalı derslerden FF veya FA notu alanlar, dersi tekrar aldıklarında klinik uygulamalara da katılmak zorundadırlar.</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42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Programın ve uygulamanın geliştirilmesi amacıyla klinik uygulama sırasında ve sonrasında uygulama alanlarından geri bildirim alınır.</w:t>
      </w:r>
    </w:p>
    <w:p w:rsidR="00000000" w:rsidDel="00000000" w:rsidP="00000000" w:rsidRDefault="00000000" w:rsidRPr="00000000" w14:paraId="00000048">
      <w:pPr>
        <w:ind w:left="708" w:firstLine="0.9999999999999432"/>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DÖRDÜNCÜ BÖLÜM</w:t>
      </w:r>
    </w:p>
    <w:p w:rsidR="00000000" w:rsidDel="00000000" w:rsidP="00000000" w:rsidRDefault="00000000" w:rsidRPr="00000000" w14:paraId="00000049">
      <w:pPr>
        <w:ind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HÜKÜM BULUNMAYAN DURUMLAR</w:t>
      </w:r>
    </w:p>
    <w:p w:rsidR="00000000" w:rsidDel="00000000" w:rsidP="00000000" w:rsidRDefault="00000000" w:rsidRPr="00000000" w14:paraId="0000004A">
      <w:pPr>
        <w:ind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Madde 8: </w:t>
      </w:r>
      <w:r w:rsidDel="00000000" w:rsidR="00000000" w:rsidRPr="00000000">
        <w:rPr>
          <w:rFonts w:ascii="Times New Roman" w:cs="Times New Roman" w:eastAsia="Times New Roman" w:hAnsi="Times New Roman"/>
          <w:sz w:val="18"/>
          <w:szCs w:val="18"/>
          <w:rtl w:val="0"/>
        </w:rPr>
        <w:t xml:space="preserve">Bu maddede hükmü bulunmayan durumlarda izlenecek yol açıklanmıştır.</w:t>
      </w:r>
      <w:r w:rsidDel="00000000" w:rsidR="00000000" w:rsidRPr="00000000">
        <w:rPr>
          <w:rtl w:val="0"/>
        </w:rPr>
      </w:r>
    </w:p>
    <w:p w:rsidR="00000000" w:rsidDel="00000000" w:rsidP="00000000" w:rsidRDefault="00000000" w:rsidRPr="00000000" w14:paraId="0000004B">
      <w:pPr>
        <w:ind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Bu Laboratuvar ve Klinik Uygulama Yönergesinde usul ve esaslarda hüküm bulunmayan hallerde üst kurula danışılır ve nihai karar üst kurul tarafından belirlenir.</w:t>
      </w:r>
    </w:p>
    <w:p w:rsidR="00000000" w:rsidDel="00000000" w:rsidP="00000000" w:rsidRDefault="00000000" w:rsidRPr="00000000" w14:paraId="0000004C">
      <w:pPr>
        <w:ind w:left="708" w:firstLine="0.9999999999999432"/>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BEŞİNCİ BÖLÜM</w:t>
      </w:r>
    </w:p>
    <w:p w:rsidR="00000000" w:rsidDel="00000000" w:rsidP="00000000" w:rsidRDefault="00000000" w:rsidRPr="00000000" w14:paraId="0000004D">
      <w:pPr>
        <w:ind w:left="708" w:firstLine="0.9999999999999432"/>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SON HÜKÜMLER</w:t>
      </w:r>
    </w:p>
    <w:p w:rsidR="00000000" w:rsidDel="00000000" w:rsidP="00000000" w:rsidRDefault="00000000" w:rsidRPr="00000000" w14:paraId="0000004E">
      <w:pPr>
        <w:ind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Madde 9: </w:t>
      </w:r>
      <w:r w:rsidDel="00000000" w:rsidR="00000000" w:rsidRPr="00000000">
        <w:rPr>
          <w:rFonts w:ascii="Times New Roman" w:cs="Times New Roman" w:eastAsia="Times New Roman" w:hAnsi="Times New Roman"/>
          <w:sz w:val="18"/>
          <w:szCs w:val="18"/>
          <w:rtl w:val="0"/>
        </w:rPr>
        <w:t xml:space="preserve">Bu “Laboratuvar ve Klinik Uygulama Yönergesi” Yeditepe Üniversitesi Sağlık Bilimleri Fakültesi Dekanı onayı ile yürürlüğe girer.</w:t>
      </w:r>
    </w:p>
    <w:p w:rsidR="00000000" w:rsidDel="00000000" w:rsidP="00000000" w:rsidRDefault="00000000" w:rsidRPr="00000000" w14:paraId="0000004F">
      <w:pPr>
        <w:ind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Madde 10: </w:t>
      </w:r>
      <w:r w:rsidDel="00000000" w:rsidR="00000000" w:rsidRPr="00000000">
        <w:rPr>
          <w:rFonts w:ascii="Times New Roman" w:cs="Times New Roman" w:eastAsia="Times New Roman" w:hAnsi="Times New Roman"/>
          <w:sz w:val="18"/>
          <w:szCs w:val="18"/>
          <w:rtl w:val="0"/>
        </w:rPr>
        <w:t xml:space="preserve">Bu yönerge Yeditepe Üniversitesi, Hemşirelik Bölüm Başkanı tarafından yürütülür.</w:t>
      </w:r>
    </w:p>
    <w:p w:rsidR="00000000" w:rsidDel="00000000" w:rsidP="00000000" w:rsidRDefault="00000000" w:rsidRPr="00000000" w14:paraId="00000050">
      <w:pPr>
        <w:ind w:firstLine="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51">
      <w:pPr>
        <w:ind w:firstLine="0"/>
        <w:rPr>
          <w:rFonts w:ascii="Times New Roman" w:cs="Times New Roman" w:eastAsia="Times New Roman" w:hAnsi="Times New Roman"/>
          <w:sz w:val="18"/>
          <w:szCs w:val="18"/>
        </w:rPr>
      </w:pPr>
      <w:r w:rsidDel="00000000" w:rsidR="00000000" w:rsidRPr="00000000">
        <w:rPr>
          <w:rtl w:val="0"/>
        </w:rPr>
      </w:r>
    </w:p>
    <w:sectPr>
      <w:headerReference r:id="rId7" w:type="default"/>
      <w:pgSz w:h="16838" w:w="11906" w:orient="portrait"/>
      <w:pgMar w:bottom="1418" w:top="1134" w:left="1134" w:right="1418" w:header="397" w:footer="73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bl>
    <w:tblPr>
      <w:tblStyle w:val="Table1"/>
      <w:tblW w:w="11407.0" w:type="dxa"/>
      <w:jc w:val="left"/>
      <w:tblInd w:w="-9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5245"/>
      <w:gridCol w:w="1701"/>
      <w:gridCol w:w="2476"/>
      <w:tblGridChange w:id="0">
        <w:tblGrid>
          <w:gridCol w:w="1985"/>
          <w:gridCol w:w="5245"/>
          <w:gridCol w:w="1701"/>
          <w:gridCol w:w="2476"/>
        </w:tblGrid>
      </w:tblGridChange>
    </w:tblGrid>
    <w:tr>
      <w:trPr>
        <w:cantSplit w:val="0"/>
        <w:trHeight w:val="273" w:hRule="atLeast"/>
        <w:tblHeader w:val="0"/>
      </w:trPr>
      <w:tc>
        <w:tcPr>
          <w:vMerge w:val="restart"/>
          <w:vAlign w:val="center"/>
        </w:tcPr>
        <w:p w:rsidR="00000000" w:rsidDel="00000000" w:rsidP="00000000" w:rsidRDefault="00000000" w:rsidRPr="00000000" w14:paraId="00000053">
          <w:pPr>
            <w:spacing w:after="0" w:before="0" w:line="240" w:lineRule="auto"/>
            <w:ind w:right="360" w:firstLine="0"/>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054">
          <w:pPr>
            <w:spacing w:after="0" w:before="0" w:line="240" w:lineRule="auto"/>
            <w:ind w:firstLine="0"/>
            <w:jc w:val="left"/>
            <w:rPr>
              <w:rFonts w:ascii="Tahoma" w:cs="Tahoma" w:eastAsia="Tahoma" w:hAnsi="Tahoma"/>
              <w:b w:val="1"/>
            </w:rPr>
          </w:pPr>
          <w:r w:rsidDel="00000000" w:rsidR="00000000" w:rsidRPr="00000000">
            <w:rPr>
              <w:rFonts w:ascii="Tahoma" w:cs="Tahoma" w:eastAsia="Tahoma" w:hAnsi="Tahoma"/>
              <w:b w:val="1"/>
            </w:rPr>
            <w:drawing>
              <wp:inline distB="0" distT="0" distL="0" distR="0">
                <wp:extent cx="1173480" cy="62103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73480" cy="62103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spacing w:after="0" w:before="0" w:line="240" w:lineRule="auto"/>
            <w:ind w:firstLine="0"/>
            <w:jc w:val="left"/>
            <w:rPr>
              <w:rFonts w:ascii="Tahoma" w:cs="Tahoma" w:eastAsia="Tahoma" w:hAnsi="Tahoma"/>
              <w:b w:val="1"/>
            </w:rPr>
          </w:pPr>
          <w:r w:rsidDel="00000000" w:rsidR="00000000" w:rsidRPr="00000000">
            <w:rPr>
              <w:rtl w:val="0"/>
            </w:rPr>
          </w:r>
        </w:p>
      </w:tc>
      <w:tc>
        <w:tcPr>
          <w:vMerge w:val="restart"/>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1e1e1e"/>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e1e1e"/>
              <w:sz w:val="24"/>
              <w:szCs w:val="24"/>
              <w:u w:val="none"/>
              <w:shd w:fill="auto" w:val="clear"/>
              <w:vertAlign w:val="baseline"/>
              <w:rtl w:val="0"/>
            </w:rPr>
            <w:t xml:space="preserve">YEDİTEPE ÜNİVERSİTESİ</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1e1e1e"/>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e1e1e"/>
              <w:sz w:val="24"/>
              <w:szCs w:val="24"/>
              <w:u w:val="none"/>
              <w:shd w:fill="auto" w:val="clear"/>
              <w:vertAlign w:val="baseline"/>
              <w:rtl w:val="0"/>
            </w:rPr>
            <w:t xml:space="preserve">SAĞLIK BİLİMLERİ FAKÜLTESİ</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1e1e1e"/>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e1e1e"/>
              <w:sz w:val="24"/>
              <w:szCs w:val="24"/>
              <w:u w:val="none"/>
              <w:shd w:fill="auto" w:val="clear"/>
              <w:vertAlign w:val="baseline"/>
              <w:rtl w:val="0"/>
            </w:rPr>
            <w:t xml:space="preserve">HEMŞİRELİK BÖLÜMÜ</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1e1e1e"/>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e1e1e"/>
              <w:sz w:val="24"/>
              <w:szCs w:val="24"/>
              <w:u w:val="none"/>
              <w:shd w:fill="auto" w:val="clear"/>
              <w:vertAlign w:val="baseline"/>
              <w:rtl w:val="0"/>
            </w:rPr>
            <w:t xml:space="preserve">LABORATUVAR VE KLİNİK UYGULAMA YÖNERGESİ</w:t>
          </w:r>
        </w:p>
      </w:tc>
      <w:tc>
        <w:tcPr>
          <w:vAlign w:val="center"/>
        </w:tcPr>
        <w:p w:rsidR="00000000" w:rsidDel="00000000" w:rsidP="00000000" w:rsidRDefault="00000000" w:rsidRPr="00000000" w14:paraId="0000005A">
          <w:pPr>
            <w:tabs>
              <w:tab w:val="left" w:pos="2056"/>
              <w:tab w:val="left" w:pos="2536"/>
            </w:tabs>
            <w:spacing w:after="0" w:before="60" w:line="240" w:lineRule="auto"/>
            <w:ind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Doküman No</w:t>
          </w:r>
        </w:p>
      </w:tc>
      <w:tc>
        <w:tcPr>
          <w:vAlign w:val="center"/>
        </w:tcPr>
        <w:p w:rsidR="00000000" w:rsidDel="00000000" w:rsidP="00000000" w:rsidRDefault="00000000" w:rsidRPr="00000000" w14:paraId="0000005B">
          <w:pPr>
            <w:tabs>
              <w:tab w:val="left" w:pos="2056"/>
              <w:tab w:val="left" w:pos="2536"/>
            </w:tabs>
            <w:spacing w:after="0" w:before="60" w:line="240" w:lineRule="auto"/>
            <w:ind w:firstLine="0"/>
            <w:jc w:val="left"/>
            <w:rPr>
              <w:rFonts w:ascii="Arial" w:cs="Arial" w:eastAsia="Arial" w:hAnsi="Arial"/>
              <w:sz w:val="20"/>
              <w:szCs w:val="20"/>
            </w:rPr>
          </w:pPr>
          <w:r w:rsidDel="00000000" w:rsidR="00000000" w:rsidRPr="00000000">
            <w:rPr>
              <w:rtl w:val="0"/>
            </w:rPr>
          </w:r>
        </w:p>
      </w:tc>
    </w:tr>
    <w:tr>
      <w:trPr>
        <w:cantSplit w:val="0"/>
        <w:trHeight w:val="265" w:hRule="atLeast"/>
        <w:tblHeader w:val="0"/>
      </w:trPr>
      <w:tc>
        <w:tcPr>
          <w:vMerge w:val="continue"/>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5E">
          <w:pPr>
            <w:tabs>
              <w:tab w:val="left" w:pos="2056"/>
              <w:tab w:val="left" w:pos="2536"/>
            </w:tabs>
            <w:spacing w:after="0" w:before="60" w:line="240" w:lineRule="auto"/>
            <w:ind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Yayın Tarihi</w:t>
          </w:r>
        </w:p>
      </w:tc>
      <w:tc>
        <w:tcPr>
          <w:vAlign w:val="center"/>
        </w:tcPr>
        <w:p w:rsidR="00000000" w:rsidDel="00000000" w:rsidP="00000000" w:rsidRDefault="00000000" w:rsidRPr="00000000" w14:paraId="0000005F">
          <w:pPr>
            <w:tabs>
              <w:tab w:val="left" w:pos="2056"/>
              <w:tab w:val="left" w:pos="2536"/>
            </w:tabs>
            <w:spacing w:after="0" w:before="60" w:line="240" w:lineRule="auto"/>
            <w:ind w:firstLine="0"/>
            <w:jc w:val="left"/>
            <w:rPr>
              <w:rFonts w:ascii="Tahoma" w:cs="Tahoma" w:eastAsia="Tahoma" w:hAnsi="Tahoma"/>
              <w:sz w:val="20"/>
              <w:szCs w:val="20"/>
            </w:rPr>
          </w:pPr>
          <w:r w:rsidDel="00000000" w:rsidR="00000000" w:rsidRPr="00000000">
            <w:rPr>
              <w:rtl w:val="0"/>
            </w:rPr>
          </w:r>
        </w:p>
      </w:tc>
    </w:tr>
    <w:tr>
      <w:trPr>
        <w:cantSplit w:val="0"/>
        <w:trHeight w:val="242" w:hRule="atLeast"/>
        <w:tblHeader w:val="0"/>
      </w:trPr>
      <w:tc>
        <w:tcPr>
          <w:vMerge w:val="continue"/>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vMerge w:val="continue"/>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vAlign w:val="center"/>
        </w:tcPr>
        <w:p w:rsidR="00000000" w:rsidDel="00000000" w:rsidP="00000000" w:rsidRDefault="00000000" w:rsidRPr="00000000" w14:paraId="00000062">
          <w:pPr>
            <w:tabs>
              <w:tab w:val="left" w:pos="2056"/>
              <w:tab w:val="left" w:pos="2536"/>
            </w:tabs>
            <w:spacing w:after="0" w:before="60" w:line="240" w:lineRule="auto"/>
            <w:ind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Revizyon No</w:t>
          </w:r>
        </w:p>
      </w:tc>
      <w:tc>
        <w:tcPr>
          <w:vAlign w:val="center"/>
        </w:tcPr>
        <w:p w:rsidR="00000000" w:rsidDel="00000000" w:rsidP="00000000" w:rsidRDefault="00000000" w:rsidRPr="00000000" w14:paraId="00000063">
          <w:pPr>
            <w:tabs>
              <w:tab w:val="left" w:pos="2056"/>
              <w:tab w:val="left" w:pos="2536"/>
            </w:tabs>
            <w:spacing w:after="0" w:before="60" w:line="240" w:lineRule="auto"/>
            <w:ind w:firstLine="0"/>
            <w:jc w:val="left"/>
            <w:rPr>
              <w:rFonts w:ascii="Tahoma" w:cs="Tahoma" w:eastAsia="Tahoma" w:hAnsi="Tahoma"/>
              <w:sz w:val="20"/>
              <w:szCs w:val="20"/>
            </w:rPr>
          </w:pPr>
          <w:r w:rsidDel="00000000" w:rsidR="00000000" w:rsidRPr="00000000">
            <w:rPr>
              <w:rtl w:val="0"/>
            </w:rPr>
          </w:r>
        </w:p>
      </w:tc>
    </w:tr>
    <w:tr>
      <w:trPr>
        <w:cantSplit w:val="0"/>
        <w:trHeight w:val="235" w:hRule="atLeast"/>
        <w:tblHeader w:val="0"/>
      </w:trPr>
      <w:tc>
        <w:tcPr>
          <w:vMerge w:val="continue"/>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vMerge w:val="continue"/>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vAlign w:val="center"/>
        </w:tcPr>
        <w:p w:rsidR="00000000" w:rsidDel="00000000" w:rsidP="00000000" w:rsidRDefault="00000000" w:rsidRPr="00000000" w14:paraId="00000066">
          <w:pPr>
            <w:tabs>
              <w:tab w:val="left" w:pos="2056"/>
              <w:tab w:val="left" w:pos="2536"/>
            </w:tabs>
            <w:spacing w:after="0" w:before="60" w:line="240" w:lineRule="auto"/>
            <w:ind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Sayfa No</w:t>
          </w:r>
        </w:p>
      </w:tc>
      <w:tc>
        <w:tcPr>
          <w:vAlign w:val="center"/>
        </w:tcPr>
        <w:p w:rsidR="00000000" w:rsidDel="00000000" w:rsidP="00000000" w:rsidRDefault="00000000" w:rsidRPr="00000000" w14:paraId="00000067">
          <w:pPr>
            <w:tabs>
              <w:tab w:val="center" w:pos="4536"/>
              <w:tab w:val="right" w:pos="9072"/>
            </w:tabs>
            <w:spacing w:after="0" w:before="0" w:line="240" w:lineRule="auto"/>
            <w:ind w:firstLine="0"/>
            <w:jc w:val="left"/>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
    <w:lvl w:ilvl="0">
      <w:start w:val="1"/>
      <w:numFmt w:val="lowerLetter"/>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3">
    <w:lvl w:ilvl="0">
      <w:start w:val="1"/>
      <w:numFmt w:val="lowerLetter"/>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4">
    <w:lvl w:ilvl="0">
      <w:start w:val="1"/>
      <w:numFmt w:val="lowerLetter"/>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5">
    <w:lvl w:ilvl="0">
      <w:start w:val="1"/>
      <w:numFmt w:val="lowerLetter"/>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6">
    <w:lvl w:ilvl="0">
      <w:start w:val="6"/>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440" w:hanging="1440"/>
      </w:pPr>
      <w:rPr/>
    </w:lvl>
  </w:abstractNum>
  <w:abstractNum w:abstractNumId="7">
    <w:lvl w:ilvl="0">
      <w:start w:val="6"/>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440" w:hanging="1440"/>
      </w:pPr>
      <w:rPr/>
    </w:lvl>
  </w:abstractNum>
  <w:abstractNum w:abstractNumId="8">
    <w:lvl w:ilvl="0">
      <w:start w:val="1"/>
      <w:numFmt w:val="lowerLetter"/>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20" w:before="120"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411E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71361B"/>
    <w:pPr>
      <w:spacing w:after="100" w:afterAutospacing="1" w:before="100" w:beforeAutospacing="1" w:line="240" w:lineRule="auto"/>
      <w:ind w:firstLine="0"/>
      <w:jc w:val="left"/>
    </w:pPr>
    <w:rPr>
      <w:rFonts w:ascii="Times New Roman" w:cs="Times New Roman" w:eastAsia="Times New Roman" w:hAnsi="Times New Roman"/>
      <w:sz w:val="24"/>
      <w:szCs w:val="24"/>
      <w:lang w:eastAsia="tr-TR"/>
    </w:rPr>
  </w:style>
  <w:style w:type="character" w:styleId="Strong">
    <w:name w:val="Strong"/>
    <w:basedOn w:val="DefaultParagraphFont"/>
    <w:uiPriority w:val="22"/>
    <w:qFormat w:val="1"/>
    <w:rsid w:val="0071361B"/>
    <w:rPr>
      <w:b w:val="1"/>
      <w:bCs w:val="1"/>
    </w:rPr>
  </w:style>
  <w:style w:type="paragraph" w:styleId="ListParagraph">
    <w:name w:val="List Paragraph"/>
    <w:basedOn w:val="Normal"/>
    <w:uiPriority w:val="1"/>
    <w:qFormat w:val="1"/>
    <w:rsid w:val="00275ADB"/>
    <w:pPr>
      <w:ind w:left="720"/>
      <w:contextualSpacing w:val="1"/>
    </w:pPr>
  </w:style>
  <w:style w:type="paragraph" w:styleId="BalloonText">
    <w:name w:val="Balloon Text"/>
    <w:basedOn w:val="Normal"/>
    <w:link w:val="BalloonTextChar"/>
    <w:uiPriority w:val="99"/>
    <w:semiHidden w:val="1"/>
    <w:unhideWhenUsed w:val="1"/>
    <w:rsid w:val="0029692C"/>
    <w:pPr>
      <w:spacing w:after="0" w:before="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9692C"/>
    <w:rPr>
      <w:rFonts w:ascii="Segoe UI" w:cs="Segoe UI" w:hAnsi="Segoe UI"/>
      <w:sz w:val="18"/>
      <w:szCs w:val="18"/>
    </w:rPr>
  </w:style>
  <w:style w:type="paragraph" w:styleId="Header">
    <w:name w:val="header"/>
    <w:basedOn w:val="Normal"/>
    <w:link w:val="HeaderChar"/>
    <w:uiPriority w:val="99"/>
    <w:unhideWhenUsed w:val="1"/>
    <w:rsid w:val="004263EB"/>
    <w:pPr>
      <w:tabs>
        <w:tab w:val="center" w:pos="4703"/>
        <w:tab w:val="right" w:pos="9406"/>
      </w:tabs>
      <w:spacing w:after="0" w:before="0" w:line="240" w:lineRule="auto"/>
    </w:pPr>
  </w:style>
  <w:style w:type="character" w:styleId="HeaderChar" w:customStyle="1">
    <w:name w:val="Header Char"/>
    <w:basedOn w:val="DefaultParagraphFont"/>
    <w:link w:val="Header"/>
    <w:uiPriority w:val="99"/>
    <w:rsid w:val="004263EB"/>
  </w:style>
  <w:style w:type="paragraph" w:styleId="Footer">
    <w:name w:val="footer"/>
    <w:basedOn w:val="Normal"/>
    <w:link w:val="FooterChar"/>
    <w:uiPriority w:val="99"/>
    <w:unhideWhenUsed w:val="1"/>
    <w:rsid w:val="004263EB"/>
    <w:pPr>
      <w:tabs>
        <w:tab w:val="center" w:pos="4703"/>
        <w:tab w:val="right" w:pos="9406"/>
      </w:tabs>
      <w:spacing w:after="0" w:before="0" w:line="240" w:lineRule="auto"/>
    </w:pPr>
  </w:style>
  <w:style w:type="character" w:styleId="FooterChar" w:customStyle="1">
    <w:name w:val="Footer Char"/>
    <w:basedOn w:val="DefaultParagraphFont"/>
    <w:link w:val="Footer"/>
    <w:uiPriority w:val="99"/>
    <w:rsid w:val="004263EB"/>
  </w:style>
  <w:style w:type="character" w:styleId="Hyperlink">
    <w:name w:val="Hyperlink"/>
    <w:basedOn w:val="DefaultParagraphFont"/>
    <w:uiPriority w:val="99"/>
    <w:unhideWhenUsed w:val="1"/>
    <w:rsid w:val="00DF2301"/>
    <w:rPr>
      <w:color w:val="0563c1" w:themeColor="hyperlink"/>
      <w:u w:val="single"/>
    </w:rPr>
  </w:style>
  <w:style w:type="character" w:styleId="CommentReference">
    <w:name w:val="annotation reference"/>
    <w:basedOn w:val="DefaultParagraphFont"/>
    <w:uiPriority w:val="99"/>
    <w:semiHidden w:val="1"/>
    <w:unhideWhenUsed w:val="1"/>
    <w:rsid w:val="00707A75"/>
    <w:rPr>
      <w:sz w:val="16"/>
      <w:szCs w:val="16"/>
    </w:rPr>
  </w:style>
  <w:style w:type="paragraph" w:styleId="CommentText">
    <w:name w:val="annotation text"/>
    <w:basedOn w:val="Normal"/>
    <w:link w:val="CommentTextChar"/>
    <w:uiPriority w:val="99"/>
    <w:semiHidden w:val="1"/>
    <w:unhideWhenUsed w:val="1"/>
    <w:rsid w:val="00707A75"/>
    <w:pPr>
      <w:spacing w:line="240" w:lineRule="auto"/>
    </w:pPr>
    <w:rPr>
      <w:sz w:val="20"/>
      <w:szCs w:val="20"/>
    </w:rPr>
  </w:style>
  <w:style w:type="character" w:styleId="CommentTextChar" w:customStyle="1">
    <w:name w:val="Comment Text Char"/>
    <w:basedOn w:val="DefaultParagraphFont"/>
    <w:link w:val="CommentText"/>
    <w:uiPriority w:val="99"/>
    <w:semiHidden w:val="1"/>
    <w:rsid w:val="00707A75"/>
    <w:rPr>
      <w:sz w:val="20"/>
      <w:szCs w:val="20"/>
    </w:rPr>
  </w:style>
  <w:style w:type="paragraph" w:styleId="CommentSubject">
    <w:name w:val="annotation subject"/>
    <w:basedOn w:val="CommentText"/>
    <w:next w:val="CommentText"/>
    <w:link w:val="CommentSubjectChar"/>
    <w:uiPriority w:val="99"/>
    <w:semiHidden w:val="1"/>
    <w:unhideWhenUsed w:val="1"/>
    <w:rsid w:val="00707A75"/>
    <w:rPr>
      <w:b w:val="1"/>
      <w:bCs w:val="1"/>
    </w:rPr>
  </w:style>
  <w:style w:type="character" w:styleId="CommentSubjectChar" w:customStyle="1">
    <w:name w:val="Comment Subject Char"/>
    <w:basedOn w:val="CommentTextChar"/>
    <w:link w:val="CommentSubject"/>
    <w:uiPriority w:val="99"/>
    <w:semiHidden w:val="1"/>
    <w:rsid w:val="00707A75"/>
    <w:rPr>
      <w:b w:val="1"/>
      <w:bCs w:val="1"/>
      <w:sz w:val="20"/>
      <w:szCs w:val="20"/>
    </w:rPr>
  </w:style>
  <w:style w:type="paragraph" w:styleId="Default" w:customStyle="1">
    <w:name w:val="Default"/>
    <w:rsid w:val="00707A75"/>
    <w:pPr>
      <w:autoSpaceDE w:val="0"/>
      <w:autoSpaceDN w:val="0"/>
      <w:adjustRightInd w:val="0"/>
      <w:spacing w:after="0" w:before="0" w:line="240" w:lineRule="auto"/>
      <w:ind w:firstLine="0"/>
      <w:jc w:val="left"/>
    </w:pPr>
    <w:rPr>
      <w:rFonts w:ascii="Times New Roman" w:cs="Times New Roman" w:hAnsi="Times New Roman"/>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qObn9cP3Lv0iP0Tskhf89SCB/w==">AMUW2mWHGAY4AkhQ97fBqrKUt2x+UBdEZKDUtCXQ2Fc2U3xGWU6OyaLVJ/pG2P3kCT+quGISbCTqgRs3UW9xK0VY2aCra1YQjy9ALj5eNdiFnn9O/A31LtzQnRoCR8phtsAOr6xoA3cNwMwIJQno90zVa0L2P2wLLEp3OFbAIf/RdORS1SN/G9I3n6ofOoUCwzS9akN0C4tv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2021-02-27T10:42:00Z</dcterms:created>
  <dc:creator>irem cebioglu</dc:creator>
</cp:coreProperties>
</file>